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УДК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удк"/>
    <w:p>
      <w:pPr>
        <w:pStyle w:val="Heading1"/>
      </w:pPr>
      <w:r>
        <w:t xml:space="preserve">Указатель УДК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ATHRU</w:t>
      </w:r>
      <w:r>
        <w:t xml:space="preserve"> </w:t>
      </w:r>
      <w:r>
        <w:t xml:space="preserve">ведёт записи указателя УДК.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, отображаются через форматы модуля и участвуют в подборе классификационных значений.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t xml:space="preserve">База указателя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ключу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GetUdcNodes</w:t>
            </w:r>
          </w:p>
        </w:tc>
        <w:tc>
          <w:tcPr/>
          <w:p>
            <w:pPr>
              <w:pStyle w:val="Compact"/>
            </w:pPr>
            <w:r>
              <w:t xml:space="preserve">Действие для получения узлов дерева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 и полное отображение записи указателя.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 </w:t>
      </w:r>
      <w:r>
        <w:t xml:space="preserve">используются как контролируемый справочник классификационных рубрик УДК.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УДК</dc:title>
  <dc:creator/>
  <cp:keywords/>
  <dcterms:created xsi:type="dcterms:W3CDTF">2026-10-06T01:11:09Z</dcterms:created>
  <dcterms:modified xsi:type="dcterms:W3CDTF">2026-10-06T01:11:09Z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