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ОПЦИИ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ежимы-опции"/>
    <w:p>
      <w:pPr>
        <w:pStyle w:val="Heading1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 При значении интервала 0 автоматическое обновление параметров не производится.</w:t>
      </w:r>
    </w:p>
    <w:p>
      <w:pPr>
        <w:pStyle w:val="BodyText"/>
      </w:pPr>
      <w:r>
        <w:t xml:space="preserve">Режим аналогичен одноименному режиму АРМа Администратор-Серверный.</w:t>
      </w:r>
    </w:p>
    <w:p>
      <w:pPr>
        <w:pStyle w:val="CaptionedFigure"/>
      </w:pPr>
      <w:r>
        <w:drawing>
          <wp:inline>
            <wp:extent cx="2266950" cy="1343025"/>
            <wp:effectExtent b="0" l="0" r="0" t="0"/>
            <wp:docPr descr="Рисунок 1 - Режимы ОПЦИИ" title="Режимы ОПЦИИ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opcii_a_sr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66950" cy="1343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ОПЦИИ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ОПЦИИ</dc:title>
  <dc:creator/>
  <cp:keywords/>
  <dcterms:created xsi:type="dcterms:W3CDTF">2026-10-08T02:30:02Z</dcterms:created>
  <dcterms:modified xsi:type="dcterms:W3CDTF">2026-10-08T02:30:02Z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