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RAVR(формат)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avrформат"/>
    <w:p>
      <w:pPr>
        <w:pStyle w:val="Heading1"/>
      </w:pPr>
      <w:r>
        <w:t xml:space="preserve">Функция RAVR(формат)</w:t>
      </w:r>
    </w:p>
    <w:p>
      <w:pPr>
        <w:pStyle w:val="FirstParagraph"/>
      </w:pPr>
      <w:r>
        <w:t xml:space="preserve">Функция RAVR возвращает среднее арифметическое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Вычисленное среднее значение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необходимо предусмотреть, чтобы такое разделение в формате присутствовало. Функция RAVR может использоваться для вычисления среднего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(v1|;|)</w:t>
            </w:r>
          </w:p>
        </w:tc>
        <w:tc>
          <w:tcPr/>
          <w:p>
            <w:pPr>
              <w:pStyle w:val="Compact"/>
            </w:pPr>
            <w:r>
              <w:t xml:space="preserve">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25.25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RAVR(формат)</dc:title>
  <dc:creator/>
  <cp:keywords/>
  <dcterms:created xsi:type="dcterms:W3CDTF">2026-10-04T11:58:26Z</dcterms:created>
  <dcterms:modified xsi:type="dcterms:W3CDTF">2026-10-04T11:58:26Z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