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I128FMail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значение-модуля-i128fmail"/>
    <w:p>
      <w:pPr>
        <w:pStyle w:val="Heading1"/>
      </w:pPr>
      <w:r>
        <w:t xml:space="preserve">Назначение модуля I128FMail</w:t>
      </w:r>
    </w:p>
    <w:p>
      <w:pPr>
        <w:pStyle w:val="FirstParagraph"/>
      </w:pPr>
      <w:r>
        <w:rPr>
          <w:rStyle w:val="VerbatimChar"/>
        </w:rPr>
        <w:t xml:space="preserve">I128FMail</w:t>
      </w:r>
      <w:r>
        <w:t xml:space="preserve"> </w:t>
      </w:r>
      <w:r>
        <w:t xml:space="preserve">используется для отправки уведомлений от имени системы и как владелец контракта входящего почтового канала. Настройки исходящей отправки хранят адрес отправителя, имя отправителя, параметры SMTP и параметры HTTP-шлюза.</w:t>
      </w:r>
    </w:p>
    <w:bookmarkStart w:id="11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настройка основного почтового ящика системы;</w:t>
      </w:r>
    </w:p>
    <w:p>
      <w:pPr>
        <w:pStyle w:val="Compact"/>
        <w:numPr>
          <w:ilvl w:val="0"/>
          <w:numId w:val="1001"/>
        </w:numPr>
      </w:pPr>
      <w:r>
        <w:t xml:space="preserve">отправка письма через SMTP;</w:t>
      </w:r>
    </w:p>
    <w:p>
      <w:pPr>
        <w:pStyle w:val="Compact"/>
        <w:numPr>
          <w:ilvl w:val="0"/>
          <w:numId w:val="1001"/>
        </w:numPr>
      </w:pPr>
      <w:r>
        <w:t xml:space="preserve">отправка письма через внешний HTTP-шлюз;</w:t>
      </w:r>
    </w:p>
    <w:p>
      <w:pPr>
        <w:pStyle w:val="Compact"/>
        <w:numPr>
          <w:ilvl w:val="0"/>
          <w:numId w:val="1001"/>
        </w:numPr>
      </w:pPr>
      <w:r>
        <w:t xml:space="preserve">постановка отправки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отправка письма с вложениями.</w:t>
      </w:r>
    </w:p>
    <w:p>
      <w:pPr>
        <w:pStyle w:val="Compact"/>
        <w:numPr>
          <w:ilvl w:val="0"/>
          <w:numId w:val="1001"/>
        </w:numPr>
      </w:pPr>
      <w:r>
        <w:t xml:space="preserve">описание mailbox profile для входящих писем;</w:t>
      </w:r>
    </w:p>
    <w:p>
      <w:pPr>
        <w:pStyle w:val="Compact"/>
        <w:numPr>
          <w:ilvl w:val="0"/>
          <w:numId w:val="1001"/>
        </w:numPr>
      </w:pPr>
      <w:r>
        <w:t xml:space="preserve">нормализация входящего письма в безопасный envelope для owner-модуля.</w:t>
      </w:r>
    </w:p>
    <w:p>
      <w:pPr>
        <w:pStyle w:val="FirstParagraph"/>
      </w:pPr>
      <w:r>
        <w:t xml:space="preserve">Формат списка вложений и точки вызова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API отправки писем</w:t>
        </w:r>
      </w:hyperlink>
      <w:r>
        <w:t xml:space="preserve">.</w:t>
      </w:r>
      <w:r>
        <w:t xml:space="preserve"> </w:t>
      </w:r>
      <w:r>
        <w:t xml:space="preserve">Входящий канал описан в разделе</w:t>
      </w:r>
      <w:r>
        <w:t xml:space="preserve"> </w:t>
      </w:r>
      <w:hyperlink r:id="rId10">
        <w:r>
          <w:rPr>
            <w:rStyle w:val="Hyperlink"/>
          </w:rPr>
          <w:t xml:space="preserve">Входящая почта и mailbox profiles</w:t>
        </w:r>
      </w:hyperlink>
      <w:r>
        <w:t xml:space="preserve">.</w:t>
      </w:r>
    </w:p>
    <w:bookmarkEnd w:id="11"/>
    <w:bookmarkStart w:id="12" w:name="выбор-ящика"/>
    <w:p>
      <w:pPr>
        <w:pStyle w:val="Heading2"/>
      </w:pPr>
      <w:r>
        <w:t xml:space="preserve">2. Выбор ящика</w:t>
      </w:r>
    </w:p>
    <w:p>
      <w:pPr>
        <w:pStyle w:val="FirstParagraph"/>
      </w:pPr>
      <w:r>
        <w:rPr>
          <w:rStyle w:val="VerbatimChar"/>
        </w:rPr>
        <w:t xml:space="preserve">GetMailbox</w:t>
      </w:r>
      <w:r>
        <w:t xml:space="preserve"> </w:t>
      </w:r>
      <w:r>
        <w:t xml:space="preserve">сначала пытается найти ящик, связанный с административной переменной указанного модуля. Если связь не найдена, используется основной ящик</w:t>
      </w:r>
      <w:r>
        <w:t xml:space="preserve"> </w:t>
      </w:r>
      <w:r>
        <w:rPr>
          <w:rStyle w:val="VerbatimChar"/>
        </w:rPr>
        <w:t xml:space="preserve">MainI128FMail</w:t>
      </w:r>
      <w:r>
        <w:t xml:space="preserve">.</w:t>
      </w:r>
    </w:p>
    <w:bookmarkEnd w:id="12"/>
    <w:bookmarkStart w:id="13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Работа исходящей отправки зависит от корректности SMTP/HTTP-настроек, доступности внешнего сервера и настроек очереди. Для новых входящих профилей секреты подключения должны задаваться ссылками на секреты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не открытым текстом в профиле.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I128FMail/Help/API" TargetMode="External" /><Relationship Type="http://schemas.openxmlformats.org/officeDocument/2006/relationships/hyperlink" Id="rId10" Target="?id=Help/Show&amp;m=I128FMail/Help/Inboun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I128FMail/Help/API" TargetMode="External" /><Relationship Type="http://schemas.openxmlformats.org/officeDocument/2006/relationships/hyperlink" Id="rId10" Target="?id=Help/Show&amp;m=I128FMail/Help/Inboun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I128FMail</dc:title>
  <dc:creator/>
  <cp:keywords/>
  <dcterms:created xsi:type="dcterms:W3CDTF">2026-10-08T06:00:19Z</dcterms:created>
  <dcterms:modified xsi:type="dcterms:W3CDTF">2026-10-08T06:00:19Z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