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руководство-администратора-модуля-ai"/>
    <w:p>
      <w:pPr>
        <w:pStyle w:val="Heading1"/>
      </w:pPr>
      <w:r>
        <w:t xml:space="preserve">Руководство администратора модуля AI</w:t>
      </w:r>
    </w:p>
    <w:p>
      <w:pPr>
        <w:pStyle w:val="FirstParagraph"/>
      </w:pPr>
      <w:r>
        <w:t xml:space="preserve">Справочник по всем UI-страницам модуля, их полям, действиям, JSON-результатам, правам и опасным флагам находится в разделе ?id=Help/Show&amp;m=AI/Help/Pages.</w:t>
      </w:r>
    </w:p>
    <w:p>
      <w:pPr>
        <w:pStyle w:val="BodyText"/>
      </w:pPr>
      <w:r>
        <w:t xml:space="preserve">Общий контракт управляемых AI-операций, policy decision, ручного подтверждения, audit envelope, HealthCheck и TestA описан в разделе ?id=Help/Show&amp;m=AI/Help/GovernanceCore. Для новых промышленных сценариев администратор должен проверять наличие опубликованной AI-операции, policy, feature flag, required permissions, Help и TestA-покрытия до включения сценария пользователям.</w:t>
      </w:r>
    </w:p>
    <w:p>
      <w:pPr>
        <w:pStyle w:val="BodyText"/>
      </w:pPr>
      <w:r>
        <w:t xml:space="preserve">Профили входных данных AI, классы данных, source-level Security, masking/redaction, consent на внешнюю передачу и dry-run входного пакета описаны в разделе ?id=Help/Show&amp;m=AI/Help/InputProfiles. Администратор должен включать AI-сценарий только после проверки профиля, field keys, внешней передачи, Help и TestA-покрытия.</w:t>
      </w:r>
    </w:p>
    <w:bookmarkStart w:id="9" w:name="безопасные-выключатели"/>
    <w:p>
      <w:pPr>
        <w:pStyle w:val="Heading2"/>
      </w:pPr>
      <w:r>
        <w:t xml:space="preserve">1. Безопасные выключатели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AIEnabled</w:t>
      </w:r>
      <w:r>
        <w:t xml:space="preserve"> </w:t>
      </w:r>
      <w:r>
        <w:t xml:space="preserve">- общий выключатель runtime. При включенном модуле runtime-запросы и read-only инструменты выполняются без диагностического флага с проверкой прав пользователя и политик сценария. При выключенном модуле допускаются только явно диагностические операции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ExternalModelsEnabled</w:t>
      </w:r>
      <w:r>
        <w:t xml:space="preserve"> </w:t>
      </w:r>
      <w:r>
        <w:t xml:space="preserve">- разрешение внешних моделей. Offline-политики и локальные сценарии не должны требовать облачного API.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WriteToolsEnabled</w:t>
      </w:r>
      <w:r>
        <w:t xml:space="preserve"> </w:t>
      </w:r>
      <w:r>
        <w:t xml:space="preserve">- разрешение write-инструментов.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WriteToolsEnabled</w:t>
      </w:r>
      <w:r>
        <w:t xml:space="preserve"> </w:t>
      </w:r>
      <w:r>
        <w:t xml:space="preserve">AI-черновики создаются только при явном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; запись в целевую БД требует отдельного подтверждения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создание черновиков допускается только в диагностическом режиме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TechnicalUserLogin</w:t>
      </w:r>
      <w:r>
        <w:t xml:space="preserve"> </w:t>
      </w:r>
      <w:r>
        <w:t xml:space="preserve">- технический пользователь для фоновых AI-задач. Его права должны быть минимальными и проверяться политикой сценария.</w:t>
      </w:r>
    </w:p>
    <w:p>
      <w:pPr>
        <w:pStyle w:val="FirstParagraph"/>
      </w:pPr>
      <w:r>
        <w:t xml:space="preserve">Частные аварийные выключатели настраиваются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Рядом с выключателем агентов находится кнопка</w:t>
      </w:r>
      <w:r>
        <w:t xml:space="preserve"> </w:t>
      </w:r>
      <w:r>
        <w:t xml:space="preserve">“Консоль агентных сессий AI”</w:t>
      </w:r>
      <w:r>
        <w:t xml:space="preserve">: она открывает эксплуатационную страницу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в отдельном окне.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выключатели отображаются как</w:t>
      </w:r>
      <w:r>
        <w:t xml:space="preserve"> </w:t>
      </w:r>
      <w:r>
        <w:rPr>
          <w:rStyle w:val="VerbatimChar"/>
        </w:rPr>
        <w:t xml:space="preserve">localModels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</w:t>
      </w:r>
      <w:r>
        <w:t xml:space="preserve"> </w:t>
      </w:r>
      <w:r>
        <w:t xml:space="preserve">и останавливают соответствующий контур до выполнения операции. Внешние модели и write-инструменты также отражаются в общем списке как</w:t>
      </w:r>
      <w:r>
        <w:t xml:space="preserve"> </w:t>
      </w:r>
      <w:r>
        <w:rPr>
          <w:rStyle w:val="VerbatimChar"/>
        </w:rPr>
        <w:t xml:space="preserve">externalModels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</w:t>
      </w:r>
      <w:r>
        <w:t xml:space="preserve">.</w:t>
      </w:r>
    </w:p>
    <w:p>
      <w:pPr>
        <w:pStyle w:val="BodyText"/>
      </w:pPr>
      <w:r>
        <w:t xml:space="preserve">Инвариант записи данных: AI-инструменты не изменяют целевую ИРБИС-БД напрямую. Queue-инструменты ставят задачи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draft-инструменты сохраняют AI-черновик в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 а фактическая запись библиографической записи возможна только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после approved review,</w:t>
      </w:r>
      <w:r>
        <w:t xml:space="preserve"> </w:t>
      </w:r>
      <w:r>
        <w:rPr>
          <w:rStyle w:val="VerbatimChar"/>
        </w:rPr>
        <w:t xml:space="preserve">allowApply=true</w:t>
      </w:r>
      <w:r>
        <w:t xml:space="preserve">,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idempotency key.</w:t>
      </w:r>
    </w:p>
    <w:bookmarkEnd w:id="9"/>
    <w:bookmarkStart w:id="10" w:name="поставщики-и-маршрутизация-моделей"/>
    <w:p>
      <w:pPr>
        <w:pStyle w:val="Heading2"/>
      </w:pPr>
      <w:r>
        <w:t xml:space="preserve">2. Поставщики и маршрутизация моделей</w:t>
      </w:r>
    </w:p>
    <w:p>
      <w:pPr>
        <w:pStyle w:val="FirstParagraph"/>
      </w:pPr>
      <w:r>
        <w:t xml:space="preserve">Поставщики AI редактируются через служебный список записей модуля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который 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provider: идентификатор, тип, endpoint,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capabilities, стоимость, runtime-параметры и требования к локальному запуску. Runtime настраивается интерфейсной таблицей параметров, а локальные требования - явными полями CPU, GPU, RAM, VRAM и свободного места на диске.</w:t>
      </w:r>
    </w:p>
    <w:p>
      <w:pPr>
        <w:pStyle w:val="BodyText"/>
      </w:pPr>
      <w:r>
        <w:t xml:space="preserve">Модели AI редактируются отдельно через список записей модуля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привязана к поставщику и хранит ID модели, название, включение,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стоимость, качество, контекст, capabilities, требования к локальному запуску и параметры вызова. Это позволяет вести много моделей для одного поставщика без JSON-таблиц внутри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ProfilesJson.providers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providers.models</w:t>
      </w:r>
      <w:r>
        <w:t xml:space="preserve"> </w:t>
      </w:r>
      <w:r>
        <w:t xml:space="preserve">сохраняются как fallback и формат экспорта старых конфигураций.</w:t>
      </w:r>
    </w:p>
    <w:p>
      <w:pPr>
        <w:pStyle w:val="BodyText"/>
      </w:pPr>
      <w:r>
        <w:t xml:space="preserve">Инструменты AI редактируются через список записей модуля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соответствует одному встроенному allowlist-инструменту и хранит включение, режим, права, лимиты, признак внешнего обращения, побочные эффекты, политику подтверждения и схемы входа/выхода. Кодовый реестр остается базовой allowlist и источником исполнителей, а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позволяют администратору управлять опубликованными инструментами без редактирования JSON.</w:t>
      </w:r>
    </w:p>
    <w:p>
      <w:pPr>
        <w:pStyle w:val="BodyText"/>
      </w:pPr>
      <w:r>
        <w:t xml:space="preserve">Диагностика provider-профилей и маршрутизации моделей перенесена на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Она показывает текущие профили без раскрытия секретов, позволяет безопасно проверить provider и выполнить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по JSON-запросу. Первый срез поддерживает: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mock</w:t>
      </w:r>
      <w:r>
        <w:t xml:space="preserve"> </w:t>
      </w:r>
      <w:r>
        <w:t xml:space="preserve">- локальный диагностический поставщик без сетевых вызовов;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ollama-local</w:t>
      </w:r>
      <w:r>
        <w:t xml:space="preserve"> </w:t>
      </w:r>
      <w:r>
        <w:t xml:space="preserve">- локальный offline-профиль Ollama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local-openai-compatible</w:t>
      </w:r>
      <w:r>
        <w:t xml:space="preserve"> </w:t>
      </w:r>
      <w:r>
        <w:t xml:space="preserve">- локальный OpenAI-compatible endpoint;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cloud-openai-compatible</w:t>
      </w:r>
      <w:r>
        <w:t xml:space="preserve"> </w:t>
      </w:r>
      <w:r>
        <w:t xml:space="preserve">- внешний OpenAI-compatible endpoint, который нельзя использовать без политики внешней передачи данных и включенного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.</w:t>
      </w:r>
    </w:p>
    <w:p>
      <w:pPr>
        <w:pStyle w:val="FirstParagraph"/>
      </w:pPr>
      <w:r>
        <w:t xml:space="preserve">Маршрутизатор учитывает capabilities, локальность, стоимость, качество, offline/external-флаги, preferred provider/model и политики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cloud_first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low_cost_first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quality_first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.</w:t>
      </w:r>
    </w:p>
    <w:p>
      <w:pPr>
        <w:pStyle w:val="BodyText"/>
      </w:pPr>
      <w:r>
        <w:t xml:space="preserve">Политика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дополнительно проверяется методом</w:t>
      </w:r>
      <w:r>
        <w:t xml:space="preserve"> </w:t>
      </w:r>
      <w:r>
        <w:rPr>
          <w:rStyle w:val="VerbatimChar"/>
        </w:rPr>
        <w:t xml:space="preserve">AI::CheckOfflinePolicy</w:t>
      </w:r>
      <w:r>
        <w:t xml:space="preserve">. В этом режиме запрещены внешние модели и fallback во внешнюю модель, внешние инструменты и внешнее хранилище памяти. Нарушение возвращает</w:t>
      </w:r>
      <w:r>
        <w:t xml:space="preserve"> </w:t>
      </w:r>
      <w:r>
        <w:rPr>
          <w:rStyle w:val="VerbatimChar"/>
        </w:rPr>
        <w:t xml:space="preserve">AI_OFFLINE_POLICY_DENIED</w:t>
      </w:r>
      <w:r>
        <w:t xml:space="preserve"> </w:t>
      </w:r>
      <w:r>
        <w:t xml:space="preserve">до обращения к provider adapter, исполнителю инструмента или записи памяти.</w:t>
      </w:r>
    </w:p>
    <w:p>
      <w:pPr>
        <w:pStyle w:val="BodyText"/>
      </w:pPr>
      <w:r>
        <w:t xml:space="preserve">Если аварийный выключатель</w:t>
      </w:r>
      <w:r>
        <w:t xml:space="preserve"> </w:t>
      </w:r>
      <w:r>
        <w:rPr>
          <w:rStyle w:val="VerbatimChar"/>
        </w:rPr>
        <w:t xml:space="preserve">localModels=false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externalModels=false</w:t>
      </w:r>
      <w:r>
        <w:t xml:space="preserve">, маршрутизатор исключает соответствующие модели и показывает причину в fallback-chain.</w:t>
      </w:r>
    </w:p>
    <w:p>
      <w:pPr>
        <w:pStyle w:val="BodyText"/>
      </w:pPr>
      <w:r>
        <w:t xml:space="preserve">OpenAI-compatible adapter выполняет HTTP-запрос только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. Без этого флага выбранный локальный или внешний endpoint возвращает управляемую ошибку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что позволяет проверять маршрутизацию и политики без случайной отправки данных наружу.</w:t>
      </w:r>
    </w:p>
    <w:p>
      <w:pPr>
        <w:pStyle w:val="BodyText"/>
      </w:pPr>
      <w:r>
        <w:t xml:space="preserve">Рабочие значения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задаются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. Пользовательская форма показывает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; политика,</w:t>
      </w:r>
      <w:r>
        <w:t xml:space="preserve"> </w:t>
      </w:r>
      <w:r>
        <w:rPr>
          <w:rStyle w:val="VerbatimChar"/>
        </w:rPr>
        <w:t xml:space="preserve">System prompt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настроек модуля. Для штатной локальной проверки обычно используются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 выключенные</w:t>
      </w:r>
      <w:r>
        <w:t xml:space="preserve"> </w:t>
      </w:r>
      <w:r>
        <w:t xml:space="preserve">“Диагностический режим по умолчанию”</w:t>
      </w:r>
      <w:r>
        <w:t xml:space="preserve">,</w:t>
      </w:r>
      <w:r>
        <w:t xml:space="preserve"> </w:t>
      </w:r>
      <w:r>
        <w:t xml:space="preserve">“Dry-run по умолчанию”</w:t>
      </w:r>
      <w:r>
        <w:t xml:space="preserve">,</w:t>
      </w:r>
      <w:r>
        <w:t xml:space="preserve"> </w:t>
      </w:r>
      <w:r>
        <w:t xml:space="preserve">“Разрешить внешние модели по умолчанию”</w:t>
      </w:r>
      <w:r>
        <w:t xml:space="preserve"> </w:t>
      </w:r>
      <w:r>
        <w:t xml:space="preserve">и</w:t>
      </w:r>
      <w:r>
        <w:t xml:space="preserve"> </w:t>
      </w:r>
      <w:r>
        <w:t xml:space="preserve">“Fallback во внешние по умолчанию”</w:t>
      </w:r>
      <w:r>
        <w:t xml:space="preserve">, включенный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и пустой</w:t>
      </w:r>
      <w:r>
        <w:t xml:space="preserve"> </w:t>
      </w:r>
      <w:r>
        <w:t xml:space="preserve">“System prompt по умолчанию”</w:t>
      </w:r>
      <w:r>
        <w:t xml:space="preserve">. Настройка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по умолчанию выключена: пользовательская страница показывает ответ модели или понятное сообщение об ошибке, а полный JSON результата скрывается до явного включения этой настройки администратором.</w:t>
      </w:r>
    </w:p>
    <w:p>
      <w:pPr>
        <w:pStyle w:val="BodyText"/>
      </w:pPr>
      <w:r>
        <w:t xml:space="preserve">Проверка поставщика через</w:t>
      </w:r>
      <w:r>
        <w:t xml:space="preserve"> </w:t>
      </w:r>
      <w:r>
        <w:rPr>
          <w:rStyle w:val="VerbatimChar"/>
        </w:rPr>
        <w:t xml:space="preserve">AI/TestProvider</w:t>
      </w:r>
      <w:r>
        <w:t xml:space="preserve"> </w:t>
      </w:r>
      <w:r>
        <w:t xml:space="preserve">по умолчанию не выполняет сетевой вызов.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 </w:t>
      </w:r>
      <w:r>
        <w:t xml:space="preserve">локальный OpenAI-compatible runtime проверяется через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, а результат содержит доступность endpoint, время ответа и код ошибки, если локальный сервис не запущен или вернул некорректный ответ.</w:t>
      </w:r>
    </w:p>
    <w:bookmarkEnd w:id="10"/>
    <w:bookmarkStart w:id="11" w:name="политика-данных"/>
    <w:p>
      <w:pPr>
        <w:pStyle w:val="Heading2"/>
      </w:pPr>
      <w:r>
        <w:t xml:space="preserve">3. Политика данных</w:t>
      </w:r>
    </w:p>
    <w:p>
      <w:pPr>
        <w:pStyle w:val="FirstParagraph"/>
      </w:pPr>
      <w:r>
        <w:t xml:space="preserve">Перед вызовом внешней модели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классифицирует отправляемые данные через</w:t>
      </w:r>
      <w:r>
        <w:t xml:space="preserve"> </w:t>
      </w:r>
      <w:r>
        <w:rPr>
          <w:rStyle w:val="VerbatimChar"/>
        </w:rPr>
        <w:t xml:space="preserve">ClassifyData</w:t>
      </w:r>
      <w:r>
        <w:t xml:space="preserve">. Поддерживаются классы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 Политика задается интерфейсными полями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; при импорте/экспорте она отражается в</w:t>
      </w:r>
      <w:r>
        <w:t xml:space="preserve"> </w:t>
      </w:r>
      <w:r>
        <w:rPr>
          <w:rStyle w:val="VerbatimChar"/>
        </w:rPr>
        <w:t xml:space="preserve">ProfilesJson.dataPolicy</w:t>
      </w:r>
      <w:r>
        <w:t xml:space="preserve">. По умолчанию во внешнюю модель можно отправлять только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и только при явном</w:t>
      </w:r>
      <w:r>
        <w:t xml:space="preserve"> </w:t>
      </w:r>
      <w:r>
        <w:rPr>
          <w:rStyle w:val="VerbatimChar"/>
        </w:rPr>
        <w:t xml:space="preserve">externalDataApproved=true</w:t>
      </w:r>
      <w:r>
        <w:t xml:space="preserve">.</w:t>
      </w:r>
    </w:p>
    <w:p>
      <w:pPr>
        <w:pStyle w:val="BodyText"/>
      </w:pPr>
      <w:r>
        <w:t xml:space="preserve">Если payload содержит секретные ключи или паттерны вида</w:t>
      </w:r>
      <w:r>
        <w:t xml:space="preserve"> </w:t>
      </w:r>
      <w:r>
        <w:rPr>
          <w:rStyle w:val="VerbatimChar"/>
        </w:rPr>
        <w:t xml:space="preserve">apiKey=...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token=...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password=...</w:t>
      </w:r>
      <w:r>
        <w:t xml:space="preserve">, класс повышается до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 даже если пользователь указал</w:t>
      </w:r>
      <w:r>
        <w:t xml:space="preserve"> </w:t>
      </w:r>
      <w:r>
        <w:rPr>
          <w:rStyle w:val="VerbatimChar"/>
        </w:rPr>
        <w:t xml:space="preserve">dataClass=public</w:t>
      </w:r>
      <w:r>
        <w:t xml:space="preserve">. Внешний вызов при нарушении политики блокируется до обращения к provider adapter с ошибкой</w:t>
      </w:r>
      <w:r>
        <w:t xml:space="preserve"> </w:t>
      </w:r>
      <w:r>
        <w:rPr>
          <w:rStyle w:val="VerbatimChar"/>
        </w:rPr>
        <w:t xml:space="preserve">AI_EXTERNAL_DATA_POLICY_DENIED</w:t>
      </w:r>
      <w:r>
        <w:t xml:space="preserve"> </w:t>
      </w:r>
      <w:r>
        <w:t xml:space="preserve">и audit-событием</w:t>
      </w:r>
      <w:r>
        <w:t xml:space="preserve"> </w:t>
      </w:r>
      <w:r>
        <w:rPr>
          <w:rStyle w:val="VerbatimChar"/>
        </w:rPr>
        <w:t xml:space="preserve">Runtime/externalDataPolicy</w:t>
      </w:r>
      <w:r>
        <w:t xml:space="preserve">.</w:t>
      </w:r>
    </w:p>
    <w:bookmarkEnd w:id="11"/>
    <w:bookmarkStart w:id="12" w:name="защита-от-инъекций"/>
    <w:p>
      <w:pPr>
        <w:pStyle w:val="Heading2"/>
      </w:pPr>
      <w:r>
        <w:t xml:space="preserve">4. Защита от инъекций</w:t>
      </w:r>
    </w:p>
    <w:p>
      <w:pPr>
        <w:pStyle w:val="FirstParagraph"/>
      </w:pPr>
      <w:r>
        <w:t xml:space="preserve">Runtime-запросы и входы инструментов проходят первый срез защиты от prompt injection и tool injection. Явные маркеры переопределения инструкций, раскрытия system/developer prompt или директивы вызова инструментов блокируются до обращения к поставщику или исполнителю инструмента.</w:t>
      </w:r>
    </w:p>
    <w:p>
      <w:pPr>
        <w:pStyle w:val="BodyText"/>
      </w:pPr>
      <w:r>
        <w:t xml:space="preserve">Вопрос по FT-документу передает фрагменты как недоверенные данные с явными границами. Системное правило запрещает выполнять инструкции, найденные внутри фрагментов документа; они используются только как источник фактов для ответа.</w:t>
      </w:r>
    </w:p>
    <w:bookmarkEnd w:id="12"/>
    <w:bookmarkStart w:id="13" w:name="модель-угроз"/>
    <w:p>
      <w:pPr>
        <w:pStyle w:val="Heading2"/>
      </w:pPr>
      <w:r>
        <w:t xml:space="preserve">5. Модель угроз</w:t>
      </w:r>
    </w:p>
    <w:p>
      <w:pPr>
        <w:pStyle w:val="FirstParagraph"/>
      </w:pPr>
      <w:r>
        <w:t xml:space="preserve">Основные угрозы для модуля AI:</w:t>
      </w:r>
    </w:p>
    <w:p>
      <w:pPr>
        <w:pStyle w:val="Compact"/>
        <w:numPr>
          <w:ilvl w:val="0"/>
          <w:numId w:val="1003"/>
        </w:numPr>
      </w:pPr>
      <w:r>
        <w:t xml:space="preserve">утечка секретов поставщиков через UI, API, экспорт, audit или диагностические отчеты;</w:t>
      </w:r>
    </w:p>
    <w:p>
      <w:pPr>
        <w:pStyle w:val="Compact"/>
        <w:numPr>
          <w:ilvl w:val="0"/>
          <w:numId w:val="1003"/>
        </w:numPr>
      </w:pPr>
      <w:r>
        <w:t xml:space="preserve">передача внутренних, персональных, секретных или запрещенных данных во 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prompt injection из пользовательского запроса, FT-документа, записи, Help-страницы или другого источника;</w:t>
      </w:r>
    </w:p>
    <w:p>
      <w:pPr>
        <w:pStyle w:val="Compact"/>
        <w:numPr>
          <w:ilvl w:val="0"/>
          <w:numId w:val="1003"/>
        </w:numPr>
      </w:pPr>
      <w:r>
        <w:t xml:space="preserve">tool injection, когда текстовые данные пытаются заставить AI вызвать инструмент или расширить права;</w:t>
      </w:r>
    </w:p>
    <w:p>
      <w:pPr>
        <w:pStyle w:val="Compact"/>
        <w:numPr>
          <w:ilvl w:val="0"/>
          <w:numId w:val="1003"/>
        </w:numPr>
      </w:pPr>
      <w:r>
        <w:t xml:space="preserve">обход прав ИРБИС 128 через RAG, память, кэш, черновики или агентные шаги;</w:t>
      </w:r>
    </w:p>
    <w:p>
      <w:pPr>
        <w:pStyle w:val="Compact"/>
        <w:numPr>
          <w:ilvl w:val="0"/>
          <w:numId w:val="1003"/>
        </w:numPr>
      </w:pPr>
      <w:r>
        <w:t xml:space="preserve">несанкционированная запись в целевую БД через write-инструмент или повторное применение действия;</w:t>
      </w:r>
    </w:p>
    <w:p>
      <w:pPr>
        <w:pStyle w:val="Compact"/>
        <w:numPr>
          <w:ilvl w:val="0"/>
          <w:numId w:val="1003"/>
        </w:numPr>
      </w:pPr>
      <w:r>
        <w:t xml:space="preserve">неконтролируемые расходы, долгие операции, пакетные задачи или fallback на более дорогую/внешнюю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потеря управляемости при аварии локального runtime или внешнего provider endpoint.</w:t>
      </w:r>
    </w:p>
    <w:p>
      <w:pPr>
        <w:pStyle w:val="FirstParagraph"/>
      </w:pPr>
      <w:r>
        <w:t xml:space="preserve">Базовые меры защиты: маскирование секретов, запрет импорта секретов из backup, политика классов данных, явное подтверждение внешней передачи, аварийные выключатели, лимиты, allowlist инструментов, проверка прав на источник, audit trusted-only, AI-черновики, ручная проверка перед записью и инвалидирование производных данных по источнику. Остаточные риски первого среза: аппаратная проверка локальных моделей уже есть как контракт</w:t>
      </w:r>
      <w:r>
        <w:t xml:space="preserve"> </w:t>
      </w:r>
      <w:r>
        <w:rPr>
          <w:rStyle w:val="VerbatimChar"/>
        </w:rPr>
        <w:t xml:space="preserve">CheckLocalRuntimeHardware</w:t>
      </w:r>
      <w:r>
        <w:t xml:space="preserve">, но автообнаружение реального GPU/VRAM еще должно быть подключено к окружению установки; не все лимиты являются жесткими runtime-счетчиками.</w:t>
      </w:r>
    </w:p>
    <w:p>
      <w:pPr>
        <w:pStyle w:val="BodyText"/>
      </w:pPr>
      <w:r>
        <w:t xml:space="preserve">Создание ИМИДЖ-черновика версии 5 выполняется через Queue и требует включенного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Пользовательский action проверяет права и подписывает DBN/MFN/версию/логин; worker принимает задачу только в Queue-контексте, повторно проверяет HMAC и версию, а готовое review-окно открывается отдельным action под пользовательской сессией. Обычные повторные клики дедуплицируются,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всегда создает отдельную задачу.</w:t>
      </w:r>
    </w:p>
    <w:p>
      <w:pPr>
        <w:pStyle w:val="BodyText"/>
      </w:pPr>
      <w:r>
        <w:t xml:space="preserve">Для локальных runtime профили provider/model могут задавать требования к локальному запуску: CPU, режим GPU, минимум RAM, минимум VRAM и свободное место на диске. В API эти поля соответствуют</w:t>
      </w:r>
      <w:r>
        <w:t xml:space="preserve"> </w:t>
      </w:r>
      <w:r>
        <w:rPr>
          <w:rStyle w:val="VerbatimChar"/>
        </w:rPr>
        <w:t xml:space="preserve">cpu</w:t>
      </w:r>
      <w:r>
        <w:t xml:space="preserve">,</w:t>
      </w:r>
      <w:r>
        <w:t xml:space="preserve"> </w:t>
      </w:r>
      <w:r>
        <w:rPr>
          <w:rStyle w:val="VerbatimChar"/>
        </w:rPr>
        <w:t xml:space="preserve">gpuRequired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gpuOptional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minRamGb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minVramGb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minDiskGb</w:t>
      </w:r>
      <w:r>
        <w:t xml:space="preserve">. Требования поставщика редактируются в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требования конкретной модели - в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Проверка выполняется через</w:t>
      </w:r>
      <w:r>
        <w:t xml:space="preserve"> </w:t>
      </w:r>
      <w:r>
        <w:rPr>
          <w:rStyle w:val="VerbatimChar"/>
        </w:rPr>
        <w:t xml:space="preserve">AI/CheckLocalRuntimeHardware</w:t>
      </w:r>
      <w:r>
        <w:t xml:space="preserve"> </w:t>
      </w:r>
      <w:r>
        <w:t xml:space="preserve">и возвращает статус</w:t>
      </w:r>
      <w:r>
        <w:t xml:space="preserve"> </w:t>
      </w:r>
      <w:r>
        <w:rPr>
          <w:rStyle w:val="VerbatimChar"/>
        </w:rPr>
        <w:t xml:space="preserve">compatible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incompatible</w:t>
      </w:r>
      <w:r>
        <w:t xml:space="preserve"> </w:t>
      </w:r>
      <w:r>
        <w:t xml:space="preserve">без сетевого вызова к модели.</w:t>
      </w:r>
    </w:p>
    <w:bookmarkEnd w:id="13"/>
    <w:bookmarkStart w:id="14" w:name="инструменты"/>
    <w:p>
      <w:pPr>
        <w:pStyle w:val="Heading2"/>
      </w:pPr>
      <w:r>
        <w:t xml:space="preserve">6. Инструменты</w:t>
      </w:r>
    </w:p>
    <w:p>
      <w:pPr>
        <w:pStyle w:val="FirstParagraph"/>
      </w:pPr>
      <w:r>
        <w:t xml:space="preserve">Все инструменты вызываются через allowlist и единый pipeline</w:t>
      </w:r>
      <w:r>
        <w:t xml:space="preserve"> </w:t>
      </w:r>
      <w:r>
        <w:rPr>
          <w:rStyle w:val="VerbatimChar"/>
        </w:rPr>
        <w:t xml:space="preserve">InvokeTool</w:t>
      </w:r>
      <w:r>
        <w:t xml:space="preserve">: schema gate, проверка прав, политика, аудит, исполнение. Настройка инструментов выполняется через модуль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В карточке инструмента есть кнопка диагностического запуска: она открывает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с параметром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, строит форму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и выводит результат вызова после отправки.</w:t>
      </w:r>
    </w:p>
    <w:p>
      <w:pPr>
        <w:pStyle w:val="BodyText"/>
      </w:pPr>
      <w:r>
        <w:t xml:space="preserve">Инструменты с побочными эффектами требуют отдельной политики и подтверждения. Прямое изменение целевой БД запрещено: сначала создается AI-черновик, затем review-задача, затем подтвержденное применение.</w:t>
      </w:r>
    </w:p>
    <w:p>
      <w:pPr>
        <w:pStyle w:val="BodyText"/>
      </w:pPr>
      <w:r>
        <w:t xml:space="preserve">Долгие FT-операции (</w:t>
      </w:r>
      <w:r>
        <w:rPr>
          <w:rStyle w:val="VerbatimChar"/>
        </w:rPr>
        <w:t xml:space="preserve">ft.prepareDocument</w:t>
      </w:r>
      <w:r>
        <w:t xml:space="preserve">,</w:t>
      </w:r>
      <w:r>
        <w:t xml:space="preserve"> </w:t>
      </w:r>
      <w:r>
        <w:rPr>
          <w:rStyle w:val="VerbatimChar"/>
        </w:rPr>
        <w:t xml:space="preserve">ft.ocr</w:t>
      </w:r>
      <w:r>
        <w:t xml:space="preserve">,</w:t>
      </w:r>
      <w:r>
        <w:t xml:space="preserve"> </w:t>
      </w:r>
      <w:r>
        <w:rPr>
          <w:rStyle w:val="VerbatimChar"/>
        </w:rPr>
        <w:t xml:space="preserve">ft.transcribe</w:t>
      </w:r>
      <w:r>
        <w:t xml:space="preserve">) ставятся в штатную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Для их запуска требуется явный флаг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допустим только диагностический запуск администратором. Статус задачи проверяется инструментом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 </w:t>
      </w:r>
      <w:r>
        <w:t xml:space="preserve">по числовому id задачи.</w:t>
      </w:r>
    </w:p>
    <w:p>
      <w:pPr>
        <w:pStyle w:val="BodyText"/>
      </w:pPr>
      <w:r>
        <w:t xml:space="preserve">Текстовый runtime-запрос выполняется через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: сначала выбирается модель через маршрутизатор, затем вызывается provider adapter.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запрос выполняется штатно без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разрешен только диагностический запуск администратором. Mock provider не выполняет сетевой вызов.</w:t>
      </w:r>
    </w:p>
    <w:p>
      <w:pPr>
        <w:pStyle w:val="BodyText"/>
      </w:pPr>
      <w:r>
        <w:t xml:space="preserve">Вопрос по FT-документу выполняется встроенным виджетом просмотрщика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через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и метод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Виджет показывается только при включенном модуле AI и разрешенном пользователю runtime-доступе. Метод не читает SID-хранилище напрямую, а вызывает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проверки прав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запись полного текста, политика инструмента и аудит. Если подготовленный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постановка подготовки в очередь возможна только после отдельного пользовательского подтверждения, которое передает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.</w:t>
      </w:r>
    </w:p>
    <w:p>
      <w:pPr>
        <w:pStyle w:val="BodyText"/>
      </w:pPr>
      <w:r>
        <w:t xml:space="preserve">Semantic search выполняется инструментом</w:t>
      </w:r>
      <w:r>
        <w:t xml:space="preserve"> </w:t>
      </w:r>
      <w:r>
        <w:rPr>
          <w:rStyle w:val="VerbatimChar"/>
        </w:rPr>
        <w:t xml:space="preserve">rag.semanticSearch</w:t>
      </w:r>
      <w:r>
        <w:t xml:space="preserve">. Диагностический первый срез строит локальный индекс без внешней модели для Help-страницы и подготовленного FT-документа. Для FT-источника индекс строится через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учитывает</w:t>
      </w:r>
      <w:r>
        <w:t xml:space="preserve"> </w:t>
      </w:r>
      <w:r>
        <w:rPr>
          <w:rStyle w:val="VerbatimChar"/>
        </w:rPr>
        <w:t xml:space="preserve">chunkingProfile</w:t>
      </w:r>
      <w:r>
        <w:t xml:space="preserve">, может включать координаты из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 </w:t>
      </w:r>
      <w:r>
        <w:t xml:space="preserve">и сохраняет их в metadata chunk. Перед выдачей результата RAG повторно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источник.</w:t>
      </w:r>
    </w:p>
    <w:bookmarkEnd w:id="14"/>
    <w:bookmarkStart w:id="15" w:name="prompts-агенты-и-память"/>
    <w:p>
      <w:pPr>
        <w:pStyle w:val="Heading2"/>
      </w:pPr>
      <w:r>
        <w:t xml:space="preserve">7. Prompts, агенты и память</w:t>
      </w:r>
    </w:p>
    <w:p>
      <w:pPr>
        <w:pStyle w:val="FirstParagraph"/>
      </w:pPr>
      <w:r>
        <w:t xml:space="preserve">Prompt-шаблоны хранятся и редактируются как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через АРМ Администратор.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остается совместимым источником для старых конфигураций, импорта и экспорта; при штатной настройке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. Разделы</w:t>
      </w:r>
      <w:r>
        <w:t xml:space="preserve"> </w:t>
      </w:r>
      <w:r>
        <w:rPr>
          <w:rStyle w:val="VerbatimChar"/>
        </w:rPr>
        <w:t xml:space="preserve">ProfilesJson.scenarioVersions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ProfilesJson.agentProfiles</w:t>
      </w:r>
      <w:r>
        <w:t xml:space="preserve"> </w:t>
      </w:r>
      <w:r>
        <w:t xml:space="preserve">по-прежнему версионируются через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, чтобы фиксировать, какой prompt и какой mapping-профиль использовались при создании AI-черновика или агентного шага.</w:t>
      </w:r>
    </w:p>
    <w:p>
      <w:pPr>
        <w:pStyle w:val="BodyText"/>
      </w:pPr>
      <w:r>
        <w:t xml:space="preserve">Агентные сценарии выполняются через</w:t>
      </w:r>
      <w:r>
        <w:t xml:space="preserve"> </w:t>
      </w:r>
      <w:r>
        <w:rPr>
          <w:rStyle w:val="VerbatimChar"/>
        </w:rPr>
        <w:t xml:space="preserve">AI_AgentService</w:t>
      </w:r>
      <w:r>
        <w:t xml:space="preserve">: сессия хранит цель, выбранный сценарий, модель, шаги, статус и память. Первый прикладной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создает AI-черновик и review-задачу, после чего переводит сессию в состояние ожидания ручной проверки. Агентный шаг не применяет запись к целевой БД напрямую.</w:t>
      </w:r>
    </w:p>
    <w:p>
      <w:pPr>
        <w:pStyle w:val="BodyText"/>
      </w:pPr>
      <w:r>
        <w:t xml:space="preserve">Память агента хранится локально в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 имеет область (</w:t>
      </w:r>
      <w:r>
        <w:rPr>
          <w:rStyle w:val="VerbatimChar"/>
        </w:rPr>
        <w:t xml:space="preserve">request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session</w:t>
      </w:r>
      <w:r>
        <w:t xml:space="preserve">), TTL, владельца и ссылку на источник. Перед записью и чтением памяти проверяются права на Help/FT/record-источник; внешнее хранилище памяти запрещено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блокируется политикой.</w:t>
      </w:r>
    </w:p>
    <w:bookmarkEnd w:id="15"/>
    <w:bookmarkStart w:id="16" w:name="песочница-и-диагностический-контур"/>
    <w:p>
      <w:pPr>
        <w:pStyle w:val="Heading2"/>
      </w:pPr>
      <w:r>
        <w:t xml:space="preserve">8. Песочница и диагностический контур</w:t>
      </w:r>
    </w:p>
    <w:p>
      <w:pPr>
        <w:pStyle w:val="FirstParagraph"/>
      </w:pPr>
      <w:r>
        <w:t xml:space="preserve">Первый срез рассчитан на безопасную приемку: mock provider не выполняет сетевой вызов, OpenAI-compatible endpoint требует явного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, write-инструменты требуют явного подтверждения. Acceptance проверяет как</w:t>
      </w:r>
      <w:r>
        <w:t xml:space="preserve"> </w:t>
      </w:r>
      <w:r>
        <w:rPr>
          <w:rStyle w:val="VerbatimChar"/>
        </w:rPr>
        <w:t xml:space="preserve">ApplyDraft dryRun</w:t>
      </w:r>
      <w:r>
        <w:t xml:space="preserve">, так и фактическое дополнение временной ИМИДЖ-записи после approval с сохранением исходных полей, идемпотентным повтором и cleanup. Диагностический запуск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доступен только администратору и не должен становиться продуктивным режимом.</w:t>
      </w:r>
    </w:p>
    <w:p>
      <w:pPr>
        <w:pStyle w:val="BodyText"/>
      </w:pPr>
      <w:r>
        <w:t xml:space="preserve">Локальные модели проверяются отдельно от облачных: profile может пометить provider/model как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 задать аппаратные требования и порядок fallback. Если локальный runtime недоступен, сценарий должен возвращать управляемую ошибку или следовать явно разрешенной fallback-политике; автоматический переход в облако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запрещен.</w:t>
      </w:r>
    </w:p>
    <w:bookmarkEnd w:id="16"/>
    <w:bookmarkStart w:id="17" w:name="аудит"/>
    <w:p>
      <w:pPr>
        <w:pStyle w:val="Heading2"/>
      </w:pPr>
      <w:r>
        <w:t xml:space="preserve">9. Аудит</w:t>
      </w:r>
    </w:p>
    <w:p>
      <w:pPr>
        <w:pStyle w:val="FirstParagraph"/>
      </w:pPr>
      <w:r>
        <w:t xml:space="preserve">AI-события записываются во внутренний журнал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 </w:t>
      </w:r>
      <w:r>
        <w:t xml:space="preserve">на записи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Запись событий разрешена только доверенным компонентам модуля: runtime, маршрутизатору моделей, tool pipeline, agent/review/draft-сервисам. Внешний вызов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не принимает пользовательские события.</w:t>
      </w:r>
    </w:p>
    <w:p>
      <w:pPr>
        <w:pStyle w:val="BodyText"/>
      </w:pPr>
      <w:r>
        <w:t xml:space="preserve">Администратор может читать журнал через</w:t>
      </w:r>
      <w:r>
        <w:t xml:space="preserve"> </w:t>
      </w:r>
      <w:r>
        <w:rPr>
          <w:rStyle w:val="VerbatimChar"/>
        </w:rPr>
        <w:t xml:space="preserve">AI/ListAuditEvents</w:t>
      </w:r>
      <w:r>
        <w:t xml:space="preserve"> </w:t>
      </w:r>
      <w:r>
        <w:t xml:space="preserve">и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поддерживает фильтры по пользователю, компоненту, типу события, инструменту, результату, коду ошибки и времени. Детали событий маскируются так же, как настройки поставщиков и секреты.</w:t>
      </w:r>
    </w:p>
    <w:p>
      <w:pPr>
        <w:pStyle w:val="BodyText"/>
      </w:pPr>
      <w:r>
        <w:t xml:space="preserve">Для контроля внешней передачи данных используется</w:t>
      </w:r>
      <w:r>
        <w:t xml:space="preserve"> </w:t>
      </w:r>
      <w:r>
        <w:rPr>
          <w:rStyle w:val="VerbatimChar"/>
        </w:rPr>
        <w:t xml:space="preserve">AI/ListExternalTransfers</w:t>
      </w:r>
      <w:r>
        <w:t xml:space="preserve"> </w:t>
      </w:r>
      <w:r>
        <w:t xml:space="preserve">и отдельный блок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строится по audit-журналу, показывает попытки передачи во внешние модели, класс данных, причины блокировки, provider/model и размеры prompt/answer без раскрытия секретов.</w:t>
      </w:r>
    </w:p>
    <w:p>
      <w:pPr>
        <w:pStyle w:val="BodyText"/>
      </w:pPr>
      <w:r>
        <w:t xml:space="preserve">Эксплуатационные изменения также пишутся в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: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Maintenance/schema.ensure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AI/UpdateEmergencySwitches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Maintenance/emergency.update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 Значения секретов в ответах и audit не возвращаются.</w:t>
      </w:r>
    </w:p>
    <w:bookmarkEnd w:id="17"/>
    <w:bookmarkStart w:id="18" w:name="схема-данных"/>
    <w:p>
      <w:pPr>
        <w:pStyle w:val="Heading2"/>
      </w:pPr>
      <w:r>
        <w:t xml:space="preserve">10. Схема данных</w:t>
      </w:r>
    </w:p>
    <w:p>
      <w:pPr>
        <w:pStyle w:val="FirstParagraph"/>
      </w:pPr>
      <w:r>
        <w:t xml:space="preserve">Хранилища модуля создаются и обновляются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Операцию можно выполнять повторно: она инициализирует SID SQLite-хранилища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и сохраняет текущую версию схемы в записи модуля.</w:t>
      </w:r>
    </w:p>
    <w:p>
      <w:pPr>
        <w:pStyle w:val="BodyText"/>
      </w:pPr>
      <w:r>
        <w:t xml:space="preserve">Статус схемы отображается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 блоке</w:t>
      </w:r>
      <w:r>
        <w:t xml:space="preserve"> </w:t>
      </w:r>
      <w:r>
        <w:rPr>
          <w:rStyle w:val="VerbatimChar"/>
        </w:rPr>
        <w:t xml:space="preserve">schema</w:t>
      </w:r>
      <w:r>
        <w:t xml:space="preserve">: текущая версия, целевая версия, количество зарегистрированных хранилищ и наличие записи модуля.</w:t>
      </w:r>
    </w:p>
    <w:bookmarkEnd w:id="18"/>
    <w:bookmarkStart w:id="20" w:name="схема-профилей"/>
    <w:p>
      <w:pPr>
        <w:pStyle w:val="Heading2"/>
      </w:pPr>
      <w:r>
        <w:t xml:space="preserve">11. Схема профилей</w:t>
      </w:r>
    </w:p>
    <w:p>
      <w:pPr>
        <w:pStyle w:val="FirstParagraph"/>
      </w:pPr>
      <w:r>
        <w:t xml:space="preserve">Структуру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можно получить через</w:t>
      </w:r>
      <w:r>
        <w:t xml:space="preserve"> </w:t>
      </w:r>
      <w:r>
        <w:rPr>
          <w:rStyle w:val="VerbatimChar"/>
        </w:rPr>
        <w:t xml:space="preserve">AI/GetProfileSchema</w:t>
      </w:r>
      <w:r>
        <w:t xml:space="preserve">. Ответ содержит версию схемы, место хранения настроек</w:t>
      </w:r>
      <w:r>
        <w:t xml:space="preserve"> </w:t>
      </w:r>
      <w:r>
        <w:rPr>
          <w:rStyle w:val="VerbatimChar"/>
        </w:rPr>
        <w:t xml:space="preserve">AI.ProfilesJson</w:t>
      </w:r>
      <w:r>
        <w:t xml:space="preserve">, место хранения секретов</w:t>
      </w:r>
      <w:r>
        <w:t xml:space="preserve"> </w:t>
      </w:r>
      <w:r>
        <w:rPr>
          <w:rStyle w:val="VerbatimChar"/>
        </w:rPr>
        <w:t xml:space="preserve">AI.SecretsJson</w:t>
      </w:r>
      <w:r>
        <w:t xml:space="preserve">, место хранения технического пользователя</w:t>
      </w:r>
      <w:r>
        <w:t xml:space="preserve"> </w:t>
      </w:r>
      <w:r>
        <w:rPr>
          <w:rStyle w:val="VerbatimChar"/>
        </w:rPr>
        <w:t xml:space="preserve">AI.TechnicalUserLogin</w:t>
      </w:r>
      <w:r>
        <w:t xml:space="preserve">, описание разделов и безопасные значения по умолчанию.</w:t>
      </w:r>
    </w:p>
    <w:p>
      <w:pPr>
        <w:pStyle w:val="BodyText"/>
      </w:pPr>
      <w:r>
        <w:t xml:space="preserve">Prompt-шаблоны должны добавляться через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, а не через ручное редактирование JSON или код страниц.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сохраняется как совместимый формат импорта/экспорта; остальные версионируемые разделы</w:t>
      </w:r>
      <w:r>
        <w:t xml:space="preserve"> </w:t>
      </w:r>
      <w:r>
        <w:rPr>
          <w:rStyle w:val="VerbatimChar"/>
        </w:rPr>
        <w:t xml:space="preserve">agentProfiles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scenarioVersions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mappingProfiles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toolPolicies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toolSchemas</w:t>
      </w:r>
      <w:r>
        <w:t xml:space="preserve"> </w:t>
      </w:r>
      <w:r>
        <w:t xml:space="preserve">остаются в профильной структуре</w:t>
      </w:r>
      <w:r>
        <w:t xml:space="preserve"> </w:t>
      </w:r>
      <w:r>
        <w:rPr>
          <w:rStyle w:val="VerbatimChar"/>
        </w:rPr>
        <w:t xml:space="preserve">AI::GetProfileSchema()</w:t>
      </w:r>
      <w:r>
        <w:t xml:space="preserve"> </w:t>
      </w:r>
      <w:r>
        <w:t xml:space="preserve">и хранят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.</w:t>
      </w:r>
    </w:p>
    <w:p>
      <w:pPr>
        <w:pStyle w:val="BodyText"/>
      </w:pPr>
      <w:r>
        <w:t xml:space="preserve">Дефолтный профиль версии 7</w:t>
      </w:r>
      <w:r>
        <w:t xml:space="preserve"> </w:t>
      </w:r>
      <w:r>
        <w:rPr>
          <w:rStyle w:val="VerbatimChar"/>
        </w:rPr>
        <w:t xml:space="preserve">mappingProfiles.items.imageCatalog.default</w:t>
      </w:r>
      <w:r>
        <w:t xml:space="preserve"> </w:t>
      </w:r>
      <w:r>
        <w:t xml:space="preserve">описывает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источник и цель — одна запись в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 первичный текст берется из всех повторений и подполей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дата IMAGE-записи из поля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используется лишь как слабый временной prior, путь изображения —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952^*</w:t>
      </w:r>
      <w:r>
        <w:t xml:space="preserve">. Перед классификацией</w:t>
      </w:r>
      <w:r>
        <w:t xml:space="preserve"> </w:t>
      </w:r>
      <w:r>
        <w:rPr>
          <w:rStyle w:val="VerbatimChar"/>
        </w:rPr>
        <w:t xml:space="preserve">imageCatalog.reconstruction.v1</w:t>
      </w:r>
      <w:r>
        <w:t xml:space="preserve"> </w:t>
      </w:r>
      <w:r>
        <w:t xml:space="preserve">согласует до шести дедуплицированных OCR-кандидатов: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Сервер отклоняет строки без корректных</w:t>
      </w:r>
      <w:r>
        <w:t xml:space="preserve"> </w:t>
      </w:r>
      <w:r>
        <w:rPr>
          <w:rStyle w:val="VerbatimChar"/>
        </w:rPr>
        <w:t xml:space="preserve">sourceRefs</w:t>
      </w:r>
      <w:r>
        <w:t xml:space="preserve"> </w:t>
      </w:r>
      <w:r>
        <w:t xml:space="preserve">или достаточного покрытия. Число из вторичного артефакта принимается только при подтверждении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либо еще одним независимым кандидатом; это же правило применяется к числовым библиографическим полям. Реконструкция не записывается в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она хранится в черновике вместе с audit. Рабочий лист определяется из allowlist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;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не используется без признака тома или выпуска, а диапазон страниц библиографии не считается признаком</w:t>
      </w:r>
      <w:r>
        <w:t xml:space="preserve"> </w:t>
      </w:r>
      <w:r>
        <w:rPr>
          <w:rStyle w:val="VerbatimChar"/>
        </w:rPr>
        <w:t xml:space="preserve">ASP</w:t>
      </w:r>
      <w:r>
        <w:t xml:space="preserve">. Локальный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pipeline использует prompt-профили</w:t>
      </w:r>
      <w:r>
        <w:t xml:space="preserve"> </w:t>
      </w:r>
      <w:r>
        <w:rPr>
          <w:rStyle w:val="VerbatimChar"/>
        </w:rPr>
        <w:t xml:space="preserve">imageCatalog.classification.v7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imageCatalog.extraction.v7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imageCatalog.verification.v7</w:t>
      </w:r>
      <w:r>
        <w:t xml:space="preserve">, типозависимую схему, ближайшие проверенные примеры и обязательную позиционную evidence validation по исходным OCR-кандидатам. Дополнительный локальный профиль</w:t>
      </w:r>
      <w:r>
        <w:t xml:space="preserve"> </w:t>
      </w:r>
      <w:r>
        <w:rPr>
          <w:rStyle w:val="VerbatimChar"/>
        </w:rPr>
        <w:t xml:space="preserve">Resources/bibliographic-abbreviations.json</w:t>
      </w:r>
      <w:r>
        <w:t xml:space="preserve"> </w:t>
      </w:r>
      <w:r>
        <w:t xml:space="preserve">учитывает ГОСТ Р 7.0.12-2011, ГОСТ 7.11-2004 и исторические ГОСТ 7.12-93/7.12-77: корректная полная форма модели сохраняется, если сокращенный</w:t>
      </w:r>
      <w:r>
        <w:t xml:space="preserve"> </w:t>
      </w:r>
      <w:r>
        <w:rPr>
          <w:rStyle w:val="VerbatimChar"/>
        </w:rPr>
        <w:t xml:space="preserve">rawEvidence</w:t>
      </w:r>
      <w:r>
        <w:t xml:space="preserve"> </w:t>
      </w:r>
      <w:r>
        <w:t xml:space="preserve">подтверждает ее несколькими независимыми якорями; один общий акроним недостаточен. Каждый скаляр содержит confidence, rawEvidence,</w:t>
      </w:r>
      <w:r>
        <w:t xml:space="preserve"> </w:t>
      </w:r>
      <w:r>
        <w:rPr>
          <w:rStyle w:val="VerbatimChar"/>
        </w:rPr>
        <w:t xml:space="preserve">evidenceCandidateId</w:t>
      </w:r>
      <w:r>
        <w:t xml:space="preserve">, зону и строки. Помимо заглавия, авторов, публикации и объема извлекаются ответственность, параллельное заглавие, издание, физические характеристики, серия, ISBN/ISSN, цена, тираж, переплет, примечания, классификационные индексы и связи многотомного/аналитического описания. Первый автор записывается в неповторяемое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остальные — в</w:t>
      </w:r>
      <w:r>
        <w:t xml:space="preserve"> </w:t>
      </w:r>
      <w:r>
        <w:rPr>
          <w:rStyle w:val="VerbatimChar"/>
        </w:rPr>
        <w:t xml:space="preserve">701</w:t>
      </w:r>
      <w:r>
        <w:t xml:space="preserve">, участники — в</w:t>
      </w:r>
      <w:r>
        <w:t xml:space="preserve"> </w:t>
      </w:r>
      <w:r>
        <w:rPr>
          <w:rStyle w:val="VerbatimChar"/>
        </w:rPr>
        <w:t xml:space="preserve">702</w:t>
      </w:r>
      <w:r>
        <w:t xml:space="preserve">, коллективы — в</w:t>
      </w:r>
      <w:r>
        <w:t xml:space="preserve"> </w:t>
      </w:r>
      <w:r>
        <w:rPr>
          <w:rStyle w:val="VerbatimChar"/>
        </w:rPr>
        <w:t xml:space="preserve">710/711</w:t>
      </w:r>
      <w:r>
        <w:t xml:space="preserve">. Обязательные поля заданы отдельно для каждого рабочего листа; checksum ISBN/ISSN, согласованность публикационной зоны и конфликт ролей превращаются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. Поля</w:t>
      </w:r>
      <w:r>
        <w:t xml:space="preserve"> </w:t>
      </w:r>
      <w:r>
        <w:rPr>
          <w:rStyle w:val="VerbatimChar"/>
        </w:rPr>
        <w:t xml:space="preserve">22</w:t>
      </w:r>
      <w:r>
        <w:t xml:space="preserve">,</w:t>
      </w:r>
      <w:r>
        <w:t xml:space="preserve"> </w:t>
      </w:r>
      <w:r>
        <w:rPr>
          <w:rStyle w:val="VerbatimChar"/>
        </w:rPr>
        <w:t xml:space="preserve">24</w:t>
      </w:r>
      <w:r>
        <w:t xml:space="preserve">,</w:t>
      </w:r>
      <w:r>
        <w:t xml:space="preserve"> </w:t>
      </w:r>
      <w:r>
        <w:rPr>
          <w:rStyle w:val="VerbatimChar"/>
        </w:rPr>
        <w:t xml:space="preserve">952</w:t>
      </w:r>
      <w:r>
        <w:t xml:space="preserve">,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уже заполненные библиографические значения сохраняются.</w:t>
      </w:r>
    </w:p>
    <w:p>
      <w:pPr>
        <w:pStyle w:val="BodyText"/>
      </w:pPr>
      <w:r>
        <w:t xml:space="preserve">Рабочие нормативные конспекты и ссылки на официальные источники находятся в разделе</w:t>
      </w:r>
      <w:r>
        <w:t xml:space="preserve"> </w:t>
      </w:r>
      <w:hyperlink r:id="rId19">
        <w:r>
          <w:rPr>
            <w:rStyle w:val="Hyperlink"/>
          </w:rPr>
          <w:t xml:space="preserve">Нормативные ориентиры</w:t>
        </w:r>
      </w:hyperlink>
      <w:r>
        <w:t xml:space="preserve">.</w:t>
      </w:r>
    </w:p>
    <w:p>
      <w:pPr>
        <w:pStyle w:val="BodyText"/>
      </w:pPr>
      <w:r>
        <w:t xml:space="preserve">В этом же профиле задаются</w:t>
      </w:r>
      <w:r>
        <w:t xml:space="preserve"> </w:t>
      </w:r>
      <w:r>
        <w:rPr>
          <w:rStyle w:val="VerbatimChar"/>
        </w:rPr>
        <w:t xml:space="preserve">duplicateKeys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duplicateRules</w:t>
      </w:r>
      <w:r>
        <w:t xml:space="preserve">. Правило</w:t>
      </w:r>
      <w:r>
        <w:t xml:space="preserve"> </w:t>
      </w:r>
      <w:r>
        <w:rPr>
          <w:rStyle w:val="VerbatimChar"/>
        </w:rPr>
        <w:t xml:space="preserve">imageCatalog.titleAuthorByType</w:t>
      </w:r>
      <w:r>
        <w:t xml:space="preserve"> </w:t>
      </w:r>
      <w:r>
        <w:t xml:space="preserve">выполняет read-only поиск по заглавию/автору и подставляет в фильтр</w:t>
      </w:r>
      <w:r>
        <w:t xml:space="preserve"> </w:t>
      </w:r>
      <w:r>
        <w:rPr>
          <w:rStyle w:val="VerbatimChar"/>
        </w:rPr>
        <w:t xml:space="preserve">V=</w:t>
      </w:r>
      <w:r>
        <w:t xml:space="preserve"> </w:t>
      </w:r>
      <w:r>
        <w:t xml:space="preserve">фактически определенный рабочий лист. Оно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найденные записи и возвращает кандидатов в</w:t>
      </w:r>
      <w:r>
        <w:t xml:space="preserve"> </w:t>
      </w:r>
      <w:r>
        <w:rPr>
          <w:rStyle w:val="VerbatimChar"/>
        </w:rPr>
        <w:t xml:space="preserve">duplicateCheck.scenarioRules</w:t>
      </w:r>
      <w:r>
        <w:t xml:space="preserve">; слияние или создание дублетных записей не выполняется.</w:t>
      </w:r>
    </w:p>
    <w:p>
      <w:pPr>
        <w:pStyle w:val="BodyText"/>
      </w:pPr>
      <w:r>
        <w:t xml:space="preserve">Неверсионируемые эксплуатационные разделы:</w:t>
      </w:r>
      <w:r>
        <w:t xml:space="preserve"> </w:t>
      </w:r>
      <w:r>
        <w:rPr>
          <w:rStyle w:val="VerbatimChar"/>
        </w:rPr>
        <w:t xml:space="preserve">providers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limits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dataPolicy</w:t>
      </w:r>
      <w:r>
        <w:t xml:space="preserve">,</w:t>
      </w:r>
      <w:r>
        <w:t xml:space="preserve"> </w:t>
      </w:r>
      <w:r>
        <w:rPr>
          <w:rStyle w:val="VerbatimChar"/>
        </w:rPr>
        <w:t xml:space="preserve">emergencySwitches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localRuntime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askPage</w:t>
      </w:r>
      <w:r>
        <w:t xml:space="preserve">. Для поставщиков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; для моделей -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; для prompt-шаблонов -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для инструментов -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; для лимитов, политики данных, памяти, RAG, локальной среды, аварийных выключателей и дефолтов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- отдельные интерфейсные параметры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Соответствующие разделы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сохраняются для совместимости старых конфигураций, импорта и экспорта.</w:t>
      </w:r>
    </w:p>
    <w:p>
      <w:pPr>
        <w:pStyle w:val="BodyText"/>
      </w:pPr>
      <w:r>
        <w:t xml:space="preserve">Технический пользователь задается полем</w:t>
      </w:r>
      <w:r>
        <w:t xml:space="preserve"> </w:t>
      </w:r>
      <w:r>
        <w:rPr>
          <w:rStyle w:val="VerbatimChar"/>
        </w:rPr>
        <w:t xml:space="preserve">TechnicalUserLogin</w:t>
      </w:r>
      <w:r>
        <w:t xml:space="preserve"> </w:t>
      </w:r>
      <w:r>
        <w:t xml:space="preserve">в настройках модуля. Он предназначен для фоновых AI-задач и должен получать минимальные права на конкретные БД, FT-объекты и страницы; сценарии не должны расширять его права за счет agent-профиля или prompt.</w:t>
      </w:r>
    </w:p>
    <w:bookmarkEnd w:id="20"/>
    <w:bookmarkStart w:id="21" w:name="производные-данные"/>
    <w:p>
      <w:pPr>
        <w:pStyle w:val="Heading2"/>
      </w:pPr>
      <w:r>
        <w:t xml:space="preserve">12. Производные данные</w:t>
      </w:r>
    </w:p>
    <w:p>
      <w:pPr>
        <w:pStyle w:val="FirstParagraph"/>
      </w:pPr>
      <w:r>
        <w:t xml:space="preserve">Если исходный объект изменен, закрыт правами или должен быть исключен из AI-контекста, администратор запускает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. Операция принимает источник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 помечает соответствующие строки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stale=1</w:t>
      </w:r>
      <w:r>
        <w:t xml:space="preserve">, переводит связанную память агента в статус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 </w:t>
      </w:r>
      <w:r>
        <w:t xml:space="preserve">и пишет audit-событие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</w:t>
      </w:r>
    </w:p>
    <w:p>
      <w:pPr>
        <w:pStyle w:val="BodyText"/>
      </w:pPr>
      <w:r>
        <w:t xml:space="preserve">Для изменения прав источника указывайте</w:t>
      </w:r>
      <w:r>
        <w:t xml:space="preserve"> </w:t>
      </w:r>
      <w:r>
        <w:rPr>
          <w:rStyle w:val="VerbatimChar"/>
        </w:rPr>
        <w:t xml:space="preserve">reason=rightsChanged</w:t>
      </w:r>
      <w:r>
        <w:t xml:space="preserve">. Ответ содержит</w:t>
      </w:r>
      <w:r>
        <w:t xml:space="preserve"> </w:t>
      </w:r>
      <w:r>
        <w:rPr>
          <w:rStyle w:val="VerbatimChar"/>
        </w:rPr>
        <w:t xml:space="preserve">rebuildPolicy</w:t>
      </w:r>
      <w:r>
        <w:t xml:space="preserve">:</w:t>
      </w:r>
      <w:r>
        <w:t xml:space="preserve"> </w:t>
      </w:r>
      <w:r>
        <w:rPr>
          <w:rStyle w:val="VerbatimChar"/>
        </w:rPr>
        <w:t xml:space="preserve">blocksServingStaleChunks=true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postRightsCheckRequired=true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rebuildRequired=true</w:t>
      </w:r>
      <w:r>
        <w:t xml:space="preserve"> </w:t>
      </w:r>
      <w:r>
        <w:t xml:space="preserve">при наличии инвалидированных данных и</w:t>
      </w:r>
      <w:r>
        <w:t xml:space="preserve"> </w:t>
      </w:r>
      <w:r>
        <w:rPr>
          <w:rStyle w:val="VerbatimChar"/>
        </w:rPr>
        <w:t xml:space="preserve">queueRecommended=true</w:t>
      </w:r>
      <w:r>
        <w:t xml:space="preserve"> </w:t>
      </w:r>
      <w:r>
        <w:t xml:space="preserve">для последующего административного или фонового перестроения индекса после проверки прав.</w:t>
      </w:r>
    </w:p>
    <w:p>
      <w:pPr>
        <w:pStyle w:val="BodyText"/>
      </w:pPr>
      <w:r>
        <w:t xml:space="preserve">Операцию можно выполнить через API или через форму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Регламент эксплуатации: после изменения прав на Help-страницу, FT-документ или запись БД нужно инвалидировать производные данные этого источника до следующего продуктивного AI-сценария. RAG не возвращает stale-чанки, а</w:t>
      </w:r>
      <w:r>
        <w:t xml:space="preserve"> </w:t>
      </w:r>
      <w:r>
        <w:rPr>
          <w:rStyle w:val="VerbatimChar"/>
        </w:rPr>
        <w:t xml:space="preserve">GetAgentSession</w:t>
      </w:r>
      <w:r>
        <w:t xml:space="preserve"> </w:t>
      </w:r>
      <w:r>
        <w:t xml:space="preserve">не возвращает память со статусом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; физическое удаление можно выполнять отдельной регламентной процедурой после проверки журналов.</w:t>
      </w:r>
    </w:p>
    <w:bookmarkEnd w:id="21"/>
    <w:bookmarkStart w:id="22" w:name="резервная-копия-конфигурации"/>
    <w:p>
      <w:pPr>
        <w:pStyle w:val="Heading2"/>
      </w:pPr>
      <w:r>
        <w:t xml:space="preserve">13. Резервная копия конфигурации</w:t>
      </w:r>
    </w:p>
    <w:p>
      <w:pPr>
        <w:pStyle w:val="FirstParagraph"/>
      </w:pPr>
      <w:r>
        <w:t xml:space="preserve">Администратор может выгрузить конфигурацию через</w:t>
      </w:r>
      <w:r>
        <w:t xml:space="preserve"> </w:t>
      </w:r>
      <w:r>
        <w:rPr>
          <w:rStyle w:val="VerbatimChar"/>
        </w:rPr>
        <w:t xml:space="preserve">AI/ExportConfiguration</w:t>
      </w:r>
      <w:r>
        <w:t xml:space="preserve">. Экспорт содержит эффективный профиль, включая значения интерфейсных полей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версию формата и статус схемы, но не содержит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и не раскрывает значения ключей, токенов и паролей.</w:t>
      </w:r>
    </w:p>
    <w:p>
      <w:pPr>
        <w:pStyle w:val="BodyText"/>
      </w:pPr>
      <w:r>
        <w:t xml:space="preserve">Импорт выполняется через</w:t>
      </w:r>
      <w:r>
        <w:t xml:space="preserve"> </w:t>
      </w:r>
      <w:r>
        <w:rPr>
          <w:rStyle w:val="VerbatimChar"/>
        </w:rPr>
        <w:t xml:space="preserve">AI/ImportConfiguration</w:t>
      </w:r>
      <w:r>
        <w:t xml:space="preserve">. Секреты из импортируемого файла не принимаются: реальные значения в секретных полях отбрасываются, а существующий локальный секрет сохраняется только при маске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После переноса конфигурации секреты поставщиков нужно задать в настройках конкретной инсталляции.</w:t>
      </w:r>
    </w:p>
    <w:p>
      <w:pPr>
        <w:pStyle w:val="BodyText"/>
      </w:pPr>
      <w:r>
        <w:t xml:space="preserve">Для ротации отдельного секрета используется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с путем секретного поля, например</w:t>
      </w:r>
      <w:r>
        <w:t xml:space="preserve"> </w:t>
      </w:r>
      <w:r>
        <w:rPr>
          <w:rStyle w:val="VerbatimChar"/>
        </w:rPr>
        <w:t xml:space="preserve">providers.cloud-openai-compatible.apiKey</w:t>
      </w:r>
      <w:r>
        <w:t xml:space="preserve">. Операция заменяет значение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, не меняя публичный профиль с маской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и пишет событие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.</w:t>
      </w:r>
    </w:p>
    <w:bookmarkEnd w:id="22"/>
    <w:bookmarkStart w:id="23" w:name="лимиты"/>
    <w:p>
      <w:pPr>
        <w:pStyle w:val="Heading2"/>
      </w:pPr>
      <w:r>
        <w:t xml:space="preserve">14. Лимиты</w:t>
      </w:r>
    </w:p>
    <w:p>
      <w:pPr>
        <w:pStyle w:val="FirstParagraph"/>
      </w:pPr>
      <w:r>
        <w:t xml:space="preserve">Лимиты задаются в АРМ Администратор 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“Лимиты выполнения AI”</w:t>
      </w:r>
      <w:r>
        <w:t xml:space="preserve">. При импорте/экспорте они отражаются в</w:t>
      </w:r>
      <w:r>
        <w:t xml:space="preserve"> </w:t>
      </w:r>
      <w:r>
        <w:rPr>
          <w:rStyle w:val="VerbatimChar"/>
        </w:rPr>
        <w:t xml:space="preserve">ProfilesJson.limits</w:t>
      </w:r>
      <w:r>
        <w:t xml:space="preserve">. Эффективные значения видны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Первый срез применяет: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maxPromptChars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для runtime-запросов;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maxTokens</w:t>
      </w:r>
      <w:r>
        <w:t xml:space="preserve"> </w:t>
      </w:r>
      <w:r>
        <w:t xml:space="preserve">для ограничения параметра ответа;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maxModelCostLevel</w:t>
      </w:r>
      <w:r>
        <w:t xml:space="preserve"> </w:t>
      </w:r>
      <w:r>
        <w:t xml:space="preserve">для запрета слишком дорогой выбранной модели;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maxAgentSteps</w:t>
      </w:r>
      <w:r>
        <w:t xml:space="preserve"> </w:t>
      </w:r>
      <w:r>
        <w:t xml:space="preserve">для остановки агентной сессии до выполнения следующего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maxToolCallsPerStep</w:t>
      </w:r>
      <w:r>
        <w:t xml:space="preserve"> </w:t>
      </w:r>
      <w:r>
        <w:t xml:space="preserve">для ограничения числа фактических вызовов инструментов в рамках одного агентного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maxToolInputBytes</w:t>
      </w:r>
      <w:r>
        <w:t xml:space="preserve"> </w:t>
      </w:r>
      <w:r>
        <w:t xml:space="preserve">для ограничения размера входного JSON инструмента;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maxFileBytes</w:t>
      </w:r>
      <w:r>
        <w:t xml:space="preserve"> </w:t>
      </w:r>
      <w:r>
        <w:t xml:space="preserve">для ограничения размера передаваемого инструменту файлового или текстового payload;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maxToolExecutionSeconds</w:t>
      </w:r>
      <w:r>
        <w:t xml:space="preserve"> </w:t>
      </w:r>
      <w:r>
        <w:t xml:space="preserve">для отказа при исчерпанном бюджете времени операции;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maxConcurrentToolCalls</w:t>
      </w:r>
      <w:r>
        <w:t xml:space="preserve"> </w:t>
      </w:r>
      <w:r>
        <w:t xml:space="preserve">для ограничения числа параллельных вызовов инструментов в одном контексте.</w:t>
      </w:r>
    </w:p>
    <w:p>
      <w:pPr>
        <w:pStyle w:val="FirstParagraph"/>
      </w:pPr>
      <w:r>
        <w:t xml:space="preserve">При нарушении лимита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возвращает управляемые ошибки</w:t>
      </w:r>
      <w:r>
        <w:t xml:space="preserve"> </w:t>
      </w:r>
      <w:r>
        <w:rPr>
          <w:rStyle w:val="VerbatimChar"/>
        </w:rPr>
        <w:t xml:space="preserve">AI_LIMIT_PROMPT_CHARS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AI_LIMIT_SYSTEM_CHARS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AI_LIMIT_MAX_TOKENS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AI_LIMIT_MODEL_COST</w:t>
      </w:r>
      <w:r>
        <w:t xml:space="preserve"> </w:t>
      </w:r>
      <w:r>
        <w:t xml:space="preserve">до вызова поставщика. Агентная сессия при превышении</w:t>
      </w:r>
      <w:r>
        <w:t xml:space="preserve"> </w:t>
      </w:r>
      <w:r>
        <w:rPr>
          <w:rStyle w:val="VerbatimChar"/>
        </w:rPr>
        <w:t xml:space="preserve">maxAgentSteps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limit_exceeded</w:t>
      </w:r>
      <w:r>
        <w:t xml:space="preserve"> </w:t>
      </w:r>
      <w:r>
        <w:t xml:space="preserve">с ошибкой</w:t>
      </w:r>
      <w:r>
        <w:t xml:space="preserve"> </w:t>
      </w:r>
      <w:r>
        <w:rPr>
          <w:rStyle w:val="VerbatimChar"/>
        </w:rPr>
        <w:t xml:space="preserve">AI_LIMIT_AGENT_STEPS</w:t>
      </w:r>
      <w:r>
        <w:t xml:space="preserve">. Tool pipeline до выполнения инструмента возвращает</w:t>
      </w:r>
      <w:r>
        <w:t xml:space="preserve"> </w:t>
      </w:r>
      <w:r>
        <w:rPr>
          <w:rStyle w:val="VerbatimChar"/>
        </w:rPr>
        <w:t xml:space="preserve">AI_LIMIT_TOOL_CALLS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AI_LIMIT_TOOL_INPUT_BYTES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AI_LIMIT_FILE_BYTES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AI_LIMIT_TOOL_TIME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AI_LIMIT_TOOL_PARALLELISM</w:t>
      </w:r>
      <w:r>
        <w:t xml:space="preserve">.</w:t>
      </w:r>
    </w:p>
    <w:bookmarkEnd w:id="23"/>
    <w:bookmarkStart w:id="24" w:name="страницы"/>
    <w:p>
      <w:pPr>
        <w:pStyle w:val="Heading2"/>
      </w:pPr>
      <w:r>
        <w:t xml:space="preserve">15. Страницы</w:t>
      </w:r>
    </w:p>
    <w:p>
      <w:pPr>
        <w:pStyle w:val="FirstParagraph"/>
      </w:pPr>
      <w:r>
        <w:t xml:space="preserve">UI-страницы находятся в</w:t>
      </w:r>
      <w:r>
        <w:t xml:space="preserve"> </w:t>
      </w:r>
      <w:r>
        <w:rPr>
          <w:rStyle w:val="VerbatimChar"/>
        </w:rPr>
        <w:t xml:space="preserve">modules/AI/Pages</w:t>
      </w:r>
      <w:r>
        <w:t xml:space="preserve">. PAGE-записи создаются через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Для каждой страницы используется id вида</w:t>
      </w:r>
      <w:r>
        <w:t xml:space="preserve"> </w:t>
      </w:r>
      <w:r>
        <w:rPr>
          <w:rStyle w:val="VerbatimChar"/>
        </w:rPr>
        <w:t xml:space="preserve">AI/&lt;Name&gt;</w:t>
      </w:r>
      <w:r>
        <w:t xml:space="preserve">: права, название и положение в дереве берутся из PAGE-записи, а исполняемый код загружается из файла</w:t>
      </w:r>
      <w:r>
        <w:t xml:space="preserve"> </w:t>
      </w:r>
      <w:r>
        <w:rPr>
          <w:rStyle w:val="VerbatimChar"/>
        </w:rPr>
        <w:t xml:space="preserve">modules/AI/Pages/&lt;Name&gt;.page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AI/Ask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AI/Diagnostics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AI/AskDocument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не являются PAGE-страницами. Пользовательский вход для вопроса по документу расположен в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а ИМИДЖ-сценарий запускается подписанной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 и продолжается в модальном ExtJS-окне текущей операции.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 </w:t>
      </w:r>
      <w:r>
        <w:t xml:space="preserve">удаляет старые PAGE-записи этих технических интерфейсов, если они существовали.</w:t>
      </w:r>
    </w:p>
    <w:p>
      <w:pPr>
        <w:pStyle w:val="BodyText"/>
      </w:pPr>
      <w:r>
        <w:t xml:space="preserve">Отдельные диагностические и эксплуатационные страницы также регистрируются как PAGE-записи, но не показываются в общей навигации рабочих AI-страниц: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AI/Tools</w:t>
      </w:r>
      <w:r>
        <w:t xml:space="preserve"> </w:t>
      </w:r>
      <w:r>
        <w:t xml:space="preserve">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AI/Agent</w:t>
      </w:r>
      <w:r>
        <w:t xml:space="preserve"> </w:t>
      </w:r>
      <w:r>
        <w:t xml:space="preserve">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кнопкой</w:t>
      </w:r>
      <w:r>
        <w:t xml:space="preserve"> </w:t>
      </w:r>
      <w:r>
        <w:t xml:space="preserve">“Консоль агентных сессий AI”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AI/EnsurePages</w:t>
      </w:r>
      <w:r>
        <w:t xml:space="preserve"> </w:t>
      </w:r>
      <w:r>
        <w:t xml:space="preserve">создает записи без привязки к</w:t>
      </w:r>
      <w:r>
        <w:t xml:space="preserve"> </w:t>
      </w:r>
      <w:r>
        <w:rPr>
          <w:rStyle w:val="VerbatimChar"/>
        </w:rPr>
        <w:t xml:space="preserve">pidm/pida</w:t>
      </w:r>
      <w:r>
        <w:t xml:space="preserve">, чтобы</w:t>
      </w:r>
      <w:r>
        <w:t xml:space="preserve"> </w:t>
      </w:r>
      <w:r>
        <w:rPr>
          <w:rStyle w:val="VerbatimChar"/>
        </w:rPr>
        <w:t xml:space="preserve">Pages/Show</w:t>
      </w:r>
      <w:r>
        <w:t xml:space="preserve"> </w:t>
      </w:r>
      <w:r>
        <w:t xml:space="preserve">подключал файл страницы по id. Для административных страниц задается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изменение состава доступных ролей должно выполняться через права PAGE-записей, а не через проверку внутри файла страницы.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../References/READM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../References/READM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AI</dc:title>
  <dc:creator/>
  <cp:keywords/>
  <dcterms:created xsi:type="dcterms:W3CDTF">2026-10-04T09:58:59Z</dcterms:created>
  <dcterms:modified xsi:type="dcterms:W3CDTF">2026-10-04T09:58:59Z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