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ОПЦИИ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ежимы-опции"/>
    <w:p>
      <w:pPr>
        <w:pStyle w:val="Heading1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 При значении интервала 0 автоматическое обновление параметров не производится.</w:t>
      </w:r>
    </w:p>
    <w:p>
      <w:pPr>
        <w:pStyle w:val="BodyText"/>
      </w:pPr>
      <w:r>
        <w:t xml:space="preserve">Режим аналогичен одноименному режиму АРМа Администратор-Серверный.</w:t>
      </w:r>
    </w:p>
    <w:p>
      <w:pPr>
        <w:pStyle w:val="CaptionedFigure"/>
      </w:pPr>
      <w:r>
        <w:drawing>
          <wp:inline>
            <wp:extent cx="2266950" cy="1343025"/>
            <wp:effectExtent b="0" l="0" r="0" t="0"/>
            <wp:docPr descr="Рисунок 1 - Режимы ОПЦИИ" title="Режимы ОПЦИИ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opcii_a_s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266950" cy="1343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ОПЦИИ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ОПЦИИ</dc:title>
  <dc:creator/>
  <cp:keywords/>
  <dcterms:created xsi:type="dcterms:W3CDTF">2026-10-03T23:50:24Z</dcterms:created>
  <dcterms:modified xsi:type="dcterms:W3CDTF">2026-10-03T23:50:24Z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