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ББК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ббк"/>
    <w:p>
      <w:pPr>
        <w:pStyle w:val="Heading1"/>
      </w:pPr>
      <w:r>
        <w:t xml:space="preserve">Указатель ББК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ведёт записи указателя ББК.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t xml:space="preserve">База указателя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GetBbcNodes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 </w:t>
      </w:r>
      <w:r>
        <w:t xml:space="preserve">используются как контролируемый справочник классификационных рубрик ББК.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ББК</dc:title>
  <dc:creator/>
  <cp:keywords/>
  <dcterms:created xsi:type="dcterms:W3CDTF">2026-10-10T05:36:57Z</dcterms:created>
  <dcterms:modified xsi:type="dcterms:W3CDTF">2026-10-10T05:36:57Z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