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collaboration"/>
    <w:p>
      <w:pPr>
        <w:pStyle w:val="Heading1"/>
      </w:pPr>
      <w:r>
        <w:t xml:space="preserve">Collaboration</w:t>
      </w:r>
    </w:p>
    <w:p>
      <w:pPr>
        <w:pStyle w:val="FirstParagraph"/>
      </w:pPr>
      <w:r>
        <w:t xml:space="preserve">Раздел описывает системный модуль Collaboration, который хранит потоки коммуникаций, сообщения, публичные ответы, внутренние обсуждения, упоминания, реакции и ссылки на вложения вокруг записей ИРБИС 128.</w:t>
      </w:r>
    </w:p>
    <w:bookmarkStart w:id="9" w:name="назначение-collaboration"/>
    <w:p>
      <w:pPr>
        <w:pStyle w:val="Heading2"/>
      </w:pPr>
      <w:r>
        <w:t xml:space="preserve">Назначение Collaboration</w:t>
      </w:r>
    </w:p>
    <w:p>
      <w:pPr>
        <w:pStyle w:val="FirstParagraph"/>
      </w:pPr>
      <w:r>
        <w:t xml:space="preserve">Collaboration является общесистемным владельцем содержательной коммуникации вокруг записей ИРБИС 128. Модуль не является частью Tasks, VirtualRef, Workflow или EventBus: прикладные модули только создают потоки, добавляют сообщения и получают безопасные представления ленты.</w:t>
      </w:r>
    </w:p>
    <w:p>
      <w:pPr>
        <w:pStyle w:val="BodyText"/>
      </w:pPr>
      <w:r>
        <w:t xml:space="preserve">Модуль используется для публичных ответов заявителю, внутренних комментариев сотрудников, обсуждений в рамках workflow-переходов, упоминаний участников, реакций и связей сообщения с вложениями или документами. Доставка уведомлений, фоновые повторы, права, постоянное файловое хранилище и история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остаются ответственностью соответствующих системных модулей.</w:t>
      </w:r>
    </w:p>
    <w:bookmarkEnd w:id="9"/>
    <w:bookmarkStart w:id="10" w:name="модель-данных-collaboration"/>
    <w:p>
      <w:pPr>
        <w:pStyle w:val="Heading2"/>
      </w:pPr>
      <w:r>
        <w:t xml:space="preserve">Модель данных Collaboration</w:t>
      </w:r>
    </w:p>
    <w:p>
      <w:pPr>
        <w:pStyle w:val="FirstParagraph"/>
      </w:pPr>
      <w:r>
        <w:t xml:space="preserve">Runtime-данные хранятся в SID SQLite-хранилищах записи модуля Collaboration. Такой подход оставляет конфигурационные записи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но не раздувает системную базу большим количеством сообщений.</w:t>
      </w:r>
    </w:p>
    <w:p>
      <w:pPr>
        <w:pStyle w:val="BodyText"/>
      </w:pPr>
      <w:r>
        <w:t xml:space="preserve">Основные сущности: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CollaborationThread</w:t>
      </w:r>
      <w:r>
        <w:t xml:space="preserve"> </w:t>
      </w:r>
      <w:r>
        <w:t xml:space="preserve">- поток коммуникаций, связанный с доменным объектом по module/dbn/recordType/recordKey/mfn.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CollaborationMessage</w:t>
      </w:r>
      <w:r>
        <w:t xml:space="preserve"> </w:t>
      </w:r>
      <w:r>
        <w:t xml:space="preserve">- сообщение в потоке с типом, автором, текстом, форматом и уровнем видимости.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CollaborationParticipant</w:t>
      </w:r>
      <w:r>
        <w:t xml:space="preserve"> </w:t>
      </w:r>
      <w:r>
        <w:t xml:space="preserve">- участник потока и его роль.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CollaborationMention</w:t>
      </w:r>
      <w:r>
        <w:t xml:space="preserve"> </w:t>
      </w:r>
      <w:r>
        <w:t xml:space="preserve">- упоминание пользователя, группы или роли проекта.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CollaborationReaction</w:t>
      </w:r>
      <w:r>
        <w:t xml:space="preserve"> </w:t>
      </w:r>
      <w:r>
        <w:t xml:space="preserve">- реакция пользователя на сообщение.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CollaborationAttachment</w:t>
      </w:r>
      <w:r>
        <w:t xml:space="preserve"> </w:t>
      </w:r>
      <w:r>
        <w:t xml:space="preserve">- ссылка на объект FT или staging-token TemporaryFiles; файл не хранится внутри Collaboration.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CollaborationReference</w:t>
      </w:r>
      <w:r>
        <w:t xml:space="preserve"> </w:t>
      </w:r>
      <w:r>
        <w:t xml:space="preserve">- ссылка сообщения на запись, внешний URL или документ.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CollaborationFeedProjection</w:t>
      </w:r>
      <w:r>
        <w:t xml:space="preserve"> </w:t>
      </w:r>
      <w:r>
        <w:t xml:space="preserve">- перестраиваемая проекция ленты для быстрых списков и карточек.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CollaborationAudit</w:t>
      </w:r>
      <w:r>
        <w:t xml:space="preserve"> </w:t>
      </w:r>
      <w:r>
        <w:t xml:space="preserve">- технический аудит действий модуля.</w:t>
      </w:r>
    </w:p>
    <w:p>
      <w:pPr>
        <w:pStyle w:val="FirstParagraph"/>
      </w:pPr>
      <w:r>
        <w:t xml:space="preserve">Стандартные уровни видимости: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. Публичные DTO не должны раскрывать внутренние, технические, конфиденциальные и персональные сообщения.</w:t>
      </w:r>
    </w:p>
    <w:bookmarkEnd w:id="10"/>
    <w:bookmarkStart w:id="11" w:name="runtime-collaboration"/>
    <w:p>
      <w:pPr>
        <w:pStyle w:val="Heading2"/>
      </w:pPr>
      <w:r>
        <w:t xml:space="preserve">Runtime Collaboration</w:t>
      </w:r>
    </w:p>
    <w:p>
      <w:pPr>
        <w:pStyle w:val="FirstParagraph"/>
      </w:pPr>
      <w:r>
        <w:t xml:space="preserve">Перед записью данных модуль вызывает</w:t>
      </w:r>
      <w:r>
        <w:t xml:space="preserve"> </w:t>
      </w:r>
      <w:r>
        <w:rPr>
          <w:rStyle w:val="VerbatimChar"/>
        </w:rPr>
        <w:t xml:space="preserve">EnsureSchema</w:t>
      </w:r>
      <w:r>
        <w:t xml:space="preserve">, создает недостающие SID SQLite-хранилища и добавляет недостающие колонки при расширении схемы. Текущая версия схемы хранится в записи модуля в элементе</w:t>
      </w:r>
      <w:r>
        <w:t xml:space="preserve"> </w:t>
      </w:r>
      <w:r>
        <w:rPr>
          <w:rStyle w:val="VerbatimChar"/>
        </w:rPr>
        <w:t xml:space="preserve">Collaboration/SchemaVersion</w:t>
      </w:r>
      <w:r>
        <w:t xml:space="preserve">.</w:t>
      </w:r>
    </w:p>
    <w:p>
      <w:pPr>
        <w:pStyle w:val="BodyText"/>
      </w:pPr>
      <w:r>
        <w:t xml:space="preserve">Базовый runtime-процесс:</w:t>
      </w:r>
    </w:p>
    <w:p>
      <w:pPr>
        <w:pStyle w:val="Compact"/>
        <w:numPr>
          <w:ilvl w:val="0"/>
          <w:numId w:val="1002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для доменной записи.</w:t>
      </w:r>
    </w:p>
    <w:p>
      <w:pPr>
        <w:pStyle w:val="Compact"/>
        <w:numPr>
          <w:ilvl w:val="0"/>
          <w:numId w:val="1002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, передавая текст, тип сообщения, видимость, автора, упоминания, ссылки и вложения.</w:t>
      </w:r>
    </w:p>
    <w:p>
      <w:pPr>
        <w:pStyle w:val="Compact"/>
        <w:numPr>
          <w:ilvl w:val="0"/>
          <w:numId w:val="1002"/>
        </w:numPr>
      </w:pPr>
      <w:r>
        <w:t xml:space="preserve">Collaboration сохраняет сообщение, связанные упоминания, ссылки и вложения, обновляет проекцию ленты, регистрирует свои типы событий в EventBus и готовит событие</w:t>
      </w:r>
      <w:r>
        <w:t xml:space="preserve"> </w:t>
      </w:r>
      <w:r>
        <w:rPr>
          <w:rStyle w:val="VerbatimChar"/>
        </w:rPr>
        <w:t xml:space="preserve">collaboration.message.added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Публичные страницы получают данные через</w:t>
      </w:r>
      <w:r>
        <w:t xml:space="preserve"> </w:t>
      </w:r>
      <w:r>
        <w:rPr>
          <w:rStyle w:val="VerbatimChar"/>
        </w:rPr>
        <w:t xml:space="preserve">BuildPublicThreadDto</w:t>
      </w:r>
      <w:r>
        <w:t xml:space="preserve">, а внутренние страницы через</w:t>
      </w:r>
      <w:r>
        <w:t xml:space="preserve"> </w:t>
      </w:r>
      <w:r>
        <w:rPr>
          <w:rStyle w:val="VerbatimChar"/>
        </w:rPr>
        <w:t xml:space="preserve">GetThreadFeed</w:t>
      </w:r>
      <w:r>
        <w:t xml:space="preserve"> </w:t>
      </w:r>
      <w:r>
        <w:t xml:space="preserve">с контекстом доступа.</w:t>
      </w:r>
    </w:p>
    <w:p>
      <w:pPr>
        <w:pStyle w:val="FirstParagraph"/>
      </w:pPr>
      <w:r>
        <w:t xml:space="preserve">Точечные операции runtime-контракта: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ChangeMessageVisibility</w:t>
      </w:r>
      <w:r>
        <w:t xml:space="preserve"> </w:t>
      </w:r>
      <w:r>
        <w:t xml:space="preserve">- изменить уровень видимости сообщения и перестроить проекцию ленты.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AddMention</w:t>
      </w:r>
      <w:r>
        <w:t xml:space="preserve"> </w:t>
      </w:r>
      <w:r>
        <w:t xml:space="preserve">- добавить упоминание пользователя, группы, роли или внешнего участника.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AddReference</w:t>
      </w:r>
      <w:r>
        <w:t xml:space="preserve"> </w:t>
      </w:r>
      <w:r>
        <w:t xml:space="preserve">- добавить ссылку сообщения на запись, документ или внешний адрес.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AddReaction</w:t>
      </w:r>
      <w:r>
        <w:t xml:space="preserve"> </w:t>
      </w:r>
      <w:r>
        <w:t xml:space="preserve">- добавить пользовательскую реакцию с идемпотентностью.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LinkAttachment</w:t>
      </w:r>
      <w:r>
        <w:t xml:space="preserve"> </w:t>
      </w:r>
      <w:r>
        <w:t xml:space="preserve">- привязать ссылку на FT-объект или staging-token TemporaryFiles.</w:t>
      </w:r>
    </w:p>
    <w:p>
      <w:pPr>
        <w:pStyle w:val="FirstParagraph"/>
      </w:pPr>
      <w:r>
        <w:t xml:space="preserve">EventBus отвечает за delivery, retry и dead-letter. Queue отвечает за фоновые задачи. Security отвечает за права. FT и TemporaryFiles отвечают за хранение и подготовку файлов.</w:t>
      </w:r>
    </w:p>
    <w:bookmarkEnd w:id="11"/>
    <w:bookmarkStart w:id="12" w:name="руководство-администратора-collaboration"/>
    <w:p>
      <w:pPr>
        <w:pStyle w:val="Heading2"/>
      </w:pPr>
      <w:r>
        <w:t xml:space="preserve">Руководство администратора Collaboration</w:t>
      </w:r>
    </w:p>
    <w:p>
      <w:pPr>
        <w:pStyle w:val="FirstParagraph"/>
      </w:pPr>
      <w:r>
        <w:t xml:space="preserve">В настройках модуля задаются значения по умолчанию: пространство, тип потока, тип сообщения, видимость и имя модуля событийной шины. Эти значения используются только когда вызывающий модуль не передал их явно.</w:t>
      </w:r>
    </w:p>
    <w:p>
      <w:pPr>
        <w:pStyle w:val="BodyText"/>
      </w:pPr>
      <w:r>
        <w:t xml:space="preserve">Администратор должен настроить права на просмотр и изменение коммуникаций через стандартный Security. Отдельные политики видимости и публичные сценарии должны опираться на уровни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 </w:t>
      </w:r>
      <w:r>
        <w:t xml:space="preserve">и не подменять права доступа прикладного объекта.</w:t>
      </w:r>
    </w:p>
    <w:p>
      <w:pPr>
        <w:pStyle w:val="BodyText"/>
      </w:pPr>
      <w:r>
        <w:t xml:space="preserve">Диагностика выполняется через функцию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: она проверяет runtime-схему, system JSON и наличие внешних контрактов EventBus, FT, TemporaryFiles, Security и TestA.</w:t>
      </w:r>
    </w:p>
    <w:bookmarkEnd w:id="12"/>
    <w:bookmarkStart w:id="13" w:name="руководство-программиста-collaboration"/>
    <w:p>
      <w:pPr>
        <w:pStyle w:val="Heading2"/>
      </w:pPr>
      <w:r>
        <w:t xml:space="preserve">Руководство программиста Collaboration</w:t>
      </w:r>
    </w:p>
    <w:p>
      <w:pPr>
        <w:pStyle w:val="FirstParagraph"/>
      </w:pPr>
      <w:r>
        <w:t xml:space="preserve">Прикладной модуль не должен хранить собственную историю переписки, если сообщение относится к рабочей записи и должно участвовать в общих списках, публичных ответах или миграции VirtualRef. Вместо этого нужно открыть поток Collaboration и добавлять сообщения через API модуля.</w:t>
      </w:r>
    </w:p>
    <w:p>
      <w:pPr>
        <w:pStyle w:val="BodyText"/>
      </w:pPr>
      <w:r>
        <w:t xml:space="preserve">Минимальный пример:</w:t>
      </w:r>
    </w:p>
    <w:p>
      <w:pPr>
        <w:pStyle w:val="SourceCode"/>
      </w:pPr>
      <w:r>
        <w:rPr>
          <w:rStyle w:val="VerbatimChar"/>
        </w:rPr>
        <w:t xml:space="preserve">$thread = UseModule('Collaboration')-&gt;OpenThread(array(</w:t>
      </w:r>
      <w:r>
        <w:br/>
      </w:r>
      <w:r>
        <w:rPr>
          <w:rStyle w:val="VerbatimChar"/>
        </w:rPr>
        <w:t xml:space="preserve">    'title' =&gt; 'Обсуждение задачи',</w:t>
      </w:r>
      <w:r>
        <w:br/>
      </w:r>
      <w:r>
        <w:rPr>
          <w:rStyle w:val="VerbatimChar"/>
        </w:rPr>
        <w:t xml:space="preserve">    'visibility' =&gt; 'internal',</w:t>
      </w:r>
      <w:r>
        <w:br/>
      </w:r>
      <w:r>
        <w:rPr>
          <w:rStyle w:val="VerbatimChar"/>
        </w:rPr>
        <w:t xml:space="preserve">    'object' =&gt; array(</w:t>
      </w:r>
      <w:r>
        <w:br/>
      </w:r>
      <w:r>
        <w:rPr>
          <w:rStyle w:val="VerbatimChar"/>
        </w:rPr>
        <w:t xml:space="preserve">        'module' =&gt; 'Tasks',</w:t>
      </w:r>
      <w:r>
        <w:br/>
      </w:r>
      <w:r>
        <w:rPr>
          <w:rStyle w:val="VerbatimChar"/>
        </w:rPr>
        <w:t xml:space="preserve">        'dbn' =&gt; 'I128F',</w:t>
      </w:r>
      <w:r>
        <w:br/>
      </w:r>
      <w:r>
        <w:rPr>
          <w:rStyle w:val="VerbatimChar"/>
        </w:rPr>
        <w:t xml:space="preserve">        'recordType' =&gt; 'TASK',</w:t>
      </w:r>
      <w:r>
        <w:br/>
      </w:r>
      <w:r>
        <w:rPr>
          <w:rStyle w:val="VerbatimChar"/>
        </w:rPr>
        <w:t xml:space="preserve">        'recordKey' =&gt; 'TASK-1'</w:t>
      </w:r>
      <w:r>
        <w:br/>
      </w:r>
      <w:r>
        <w:rPr>
          <w:rStyle w:val="VerbatimChar"/>
        </w:rPr>
        <w:t xml:space="preserve">    )</w:t>
      </w:r>
      <w:r>
        <w:br/>
      </w:r>
      <w:r>
        <w:rPr>
          <w:rStyle w:val="VerbatimChar"/>
        </w:rPr>
        <w:t xml:space="preserve">), array('idempotencyKey' =&gt; 'task-thread-TASK-1'));</w:t>
      </w:r>
      <w:r>
        <w:br/>
      </w:r>
      <w:r>
        <w:br/>
      </w:r>
      <w:r>
        <w:rPr>
          <w:rStyle w:val="VerbatimChar"/>
        </w:rPr>
        <w:t xml:space="preserve">UseModule('Collaboration')-&gt;AddMessage($thread['thread']['threadKey'], array(</w:t>
      </w:r>
      <w:r>
        <w:br/>
      </w:r>
      <w:r>
        <w:rPr>
          <w:rStyle w:val="VerbatimChar"/>
        </w:rPr>
        <w:t xml:space="preserve">    'text' =&gt; 'Комментарий исполнителя',</w:t>
      </w:r>
      <w:r>
        <w:br/>
      </w:r>
      <w:r>
        <w:rPr>
          <w:rStyle w:val="VerbatimChar"/>
        </w:rPr>
        <w:t xml:space="preserve">    'visibility' =&gt; 'internal'</w:t>
      </w:r>
      <w:r>
        <w:br/>
      </w:r>
      <w:r>
        <w:rPr>
          <w:rStyle w:val="VerbatimChar"/>
        </w:rPr>
        <w:t xml:space="preserve">), array('idempotencyKey' =&gt; 'message-unique-key'));</w:t>
      </w:r>
    </w:p>
    <w:p>
      <w:pPr>
        <w:pStyle w:val="FirstParagraph"/>
      </w:pPr>
      <w:r>
        <w:t xml:space="preserve">Отдельные действия над сообщением выполняются через</w:t>
      </w:r>
      <w:r>
        <w:t xml:space="preserve"> </w:t>
      </w:r>
      <w:r>
        <w:rPr>
          <w:rStyle w:val="VerbatimChar"/>
        </w:rPr>
        <w:t xml:space="preserve">ChangeMessageVisibility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AddMention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AddReference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LinkAttachment</w:t>
      </w:r>
      <w:r>
        <w:t xml:space="preserve">. Все эти методы возвращают массив с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пишут audit и готовят EventBus-событие, если соответствующий runtime-модуль установлен. Типы событий</w:t>
      </w:r>
      <w:r>
        <w:t xml:space="preserve"> </w:t>
      </w:r>
      <w:r>
        <w:rPr>
          <w:rStyle w:val="VerbatimChar"/>
        </w:rPr>
        <w:t xml:space="preserve">collaboration.*</w:t>
      </w:r>
      <w:r>
        <w:t xml:space="preserve"> </w:t>
      </w:r>
      <w:r>
        <w:t xml:space="preserve">принадлежат Collaboration и регистрируются в EventBus из system JSON модуля перед публикацией.</w:t>
      </w:r>
    </w:p>
    <w:p>
      <w:pPr>
        <w:pStyle w:val="BodyText"/>
      </w:pPr>
      <w:r>
        <w:t xml:space="preserve">Универсальные карточки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могут выводить секцию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. Для этого в настройке секций представления используется тип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 а рендеринг выполняется через</w:t>
      </w:r>
      <w:r>
        <w:t xml:space="preserve"> </w:t>
      </w:r>
      <w:r>
        <w:rPr>
          <w:rStyle w:val="VerbatimChar"/>
        </w:rPr>
        <w:t xml:space="preserve">Collaboration/RenderRecordComments</w:t>
      </w:r>
      <w:r>
        <w:t xml:space="preserve">. Функция строит детерминированный поток для записи, показывает видимые сообщения и сохраняет новый комментарий через штатные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.</w:t>
      </w:r>
    </w:p>
    <w:p>
      <w:pPr>
        <w:pStyle w:val="BodyText"/>
      </w:pPr>
      <w:r>
        <w:t xml:space="preserve">Сообщения workflow-переходов сохраняются в Collaboration, а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должно получать только короткую человекочитаемую запись действия. Вложения передаются как ссылки на FT или staging-token TemporaryFiles. Уведомления создаются через EventBus и соответствующие подписчики, а не напрямую из Collaboration.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Collaboration</dc:title>
  <dc:creator/>
  <cp:keywords/>
  <dcterms:created xsi:type="dcterms:W3CDTF">2026-10-08T22:47:50Z</dcterms:created>
  <dcterms:modified xsi:type="dcterms:W3CDTF">2026-10-08T22:47:50Z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