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ATHRS</w:t>
      </w:r>
      <w:r>
        <w:t xml:space="preserve"> </w:t>
      </w:r>
      <w:r>
        <w:t xml:space="preserve">ведёт авторитетные записи предметных заголовков.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 открываются через полевой редактор и применяются при контроле предметизации.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DBATHRS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предметных заголовков.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заголовка.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GetATHRSNodes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предметных рубрик.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авторитетной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 </w:t>
      </w:r>
      <w:r>
        <w:t xml:space="preserve">используются как контролируемый источник предметных рубрик и связанных вариантов заголовков.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2026-10-08T11:23:34Z</dcterms:created>
  <dcterms:modified xsi:type="dcterms:W3CDTF">2026-10-08T11:23:34Z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