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[I128-2488] Каталогизатор: SID предыдущей копии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08473915df7ef954a26e0044be38259e245074"/>
    <w:p>
      <w:pPr>
        <w:pStyle w:val="Heading1"/>
      </w:pPr>
      <w:r>
        <w:t xml:space="preserve">[I128-2488] Каталогизатор: SID предыдущей копии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открытии предыдущей копии записи в Каталогизаторе, если у записи отсутствует SID, назначение служебного идентификатора выполняется напрямую через Record. После выделения границы ответственности Security это оставляет сценарий редактирования предыдущей копии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Сценарий открытия предыдущей копии записи использует общий механизм Security для физического назначения SID. Для пользователя поведение остается прежним: предыдущая копия открывается для редактирования,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modules/Cataloguer/Actions/EditPrevCopy.inc прямой вызов</w:t>
      </w:r>
      <w:r>
        <w:t xml:space="preserve"> </w:t>
      </w:r>
      <m:oMath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record).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[I128-2488] Каталогизатор: SID предыдущей копии записи назначается вне Security</dc:title>
  <dc:creator/>
  <cp:keywords/>
  <dcterms:created xsi:type="dcterms:W3CDTF">2026-10-07T17:19:54Z</dcterms:created>
  <dcterms:modified xsi:type="dcterms:W3CDTF">2026-10-07T17:19:54Z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