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[I128-1502] Настройка провайдера данных недоступна при неотвечающем конечном адресе провайдера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c29516ce09c5584bdc84152f2c1477c37336267"/>
    <w:p>
      <w:pPr>
        <w:pStyle w:val="Heading1"/>
      </w:pPr>
      <w:r>
        <w:t xml:space="preserve">[I128-1502] Настройка провайдера данных недоступна при неотвечающем конечном адресе провайдера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Admin - АРМ Администратор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22.06.2026 06:07</w:t>
      </w:r>
    </w:p>
    <w:p>
      <w:pPr>
        <w:pStyle w:val="BodyText"/>
      </w:pPr>
      <w:r>
        <w:rPr>
          <w:b/>
          <w:bCs/>
          <w:i/>
          <w:iCs/>
        </w:rPr>
        <w:t xml:space="preserve">Проблема:</w:t>
      </w:r>
      <w:r>
        <w:t xml:space="preserve"> </w:t>
      </w:r>
      <w:r>
        <w:t xml:space="preserve">Окно настройки провайдера данных для БД не открывалось, если текущий endpoint, указанный в настройках провайдера этой БД, не отвечал. Из-за этого пользователь не мог изменить тип провайдера или адрес подключения.</w:t>
      </w:r>
    </w:p>
    <w:p>
      <w:pPr>
        <w:pStyle w:val="BodyText"/>
      </w:pPr>
      <w:r>
        <w:rPr>
          <w:b/>
          <w:bCs/>
          <w:i/>
          <w:iCs/>
        </w:rPr>
        <w:t xml:space="preserve">Причина:</w:t>
      </w:r>
      <w:r>
        <w:t xml:space="preserve"> </w:t>
      </w:r>
      <w:r>
        <w:t xml:space="preserve">Действия открытия формы настройки и сохранения параметров получали объект БД через обычный</w:t>
      </w:r>
      <w:r>
        <w:t xml:space="preserve"> </w:t>
      </w:r>
      <w:r>
        <w:rPr>
          <w:rStyle w:val="VerbatimChar"/>
        </w:rPr>
        <w:t xml:space="preserve">i128f::GetDb()</w:t>
      </w:r>
      <w:r>
        <w:t xml:space="preserve">. При наличии индивидуального не-</w:t>
      </w:r>
      <w:r>
        <w:rPr>
          <w:rStyle w:val="VerbatimChar"/>
        </w:rPr>
        <w:t xml:space="preserve">Local</w:t>
      </w:r>
      <w:r>
        <w:t xml:space="preserve"> </w:t>
      </w:r>
      <w:r>
        <w:t xml:space="preserve">provider в ini БД этот путь пытался подключить настроенный provider и завершался ошибкой до чтения или записи конфигурации.</w:t>
      </w:r>
    </w:p>
    <w:p>
      <w:pPr>
        <w:pStyle w:val="BodyText"/>
      </w:pPr>
      <w:r>
        <w:rPr>
          <w:b/>
          <w:bCs/>
          <w:i/>
          <w:iCs/>
        </w:rPr>
        <w:t xml:space="preserve">Решение:</w:t>
      </w:r>
      <w:r>
        <w:t xml:space="preserve"> </w:t>
      </w:r>
      <w:r>
        <w:t xml:space="preserve">Для административной настройки провайдера добавлен отдельный способ получения объекта БД через корневой провайдер. Он читает конфигурационные файлы БД и применяет ini-настройки, но не подключает индивидуальный provider редактируемой БД. Открытие формы и сохранение настроек провайдера переведены на этот способ.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Compact"/>
        <w:numPr>
          <w:ilvl w:val="0"/>
          <w:numId w:val="1001"/>
        </w:numPr>
      </w:pPr>
      <w:r>
        <w:t xml:space="preserve">I128-1502: Открывать настройки провайдера через корневой провайдер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[I128-1502] Настройка провайдера данных недоступна при неотвечающем конечном адресе провайдера</dc:title>
  <dc:creator/>
  <cp:keywords/>
  <dcterms:created xsi:type="dcterms:W3CDTF">2026-10-07T23:17:43Z</dcterms:created>
  <dcterms:modified xsi:type="dcterms:W3CDTF">2026-10-07T23:17:43Z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