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Настройки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настройки-поля"/>
    <w:p>
      <w:pPr>
        <w:pStyle w:val="Heading1"/>
      </w:pPr>
      <w:r>
        <w:t xml:space="preserve">Настройки поля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хранит общий реестр описаний полей ИРБИС 128. Модуль задает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тип данных, физическую привязку хранения, правила ввода, отображение, поиск, экспорт, API-имена и ссылки на права.</w:t>
      </w:r>
    </w:p>
    <w:p>
      <w:pPr>
        <w:pStyle w:val="BodyText"/>
      </w:pPr>
      <w:r>
        <w:t xml:space="preserve">Модуль не исполняет доменную логику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или других потребителей. Он предоставляет единый источник метаданных поля, на который эти модули могут ссылаться.</w:t>
      </w:r>
    </w:p>
    <w:bookmarkStart w:id="12" w:name="назначение-модуля-fieldconfiguration"/>
    <w:p>
      <w:pPr>
        <w:pStyle w:val="Heading2"/>
      </w:pPr>
      <w:r>
        <w:t xml:space="preserve">Назначение модуля FieldConfiguration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нужен для того, чтобы поле описывалось один раз и далее использовалось в редакторах, публичных формах, списках, карточках, фильтрах, экспорте, API, Help и диагностике через стабильный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как record-based описание поля;</w:t>
      </w:r>
    </w:p>
    <w:p>
      <w:pPr>
        <w:pStyle w:val="Compact"/>
        <w:numPr>
          <w:ilvl w:val="0"/>
          <w:numId w:val="1001"/>
        </w:numPr>
      </w:pPr>
      <w:r>
        <w:t xml:space="preserve">хранить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 </w:t>
      </w:r>
      <w:r>
        <w:t xml:space="preserve">как набор связанных field keys для типа записи или проекта;</w:t>
      </w:r>
    </w:p>
    <w:p>
      <w:pPr>
        <w:pStyle w:val="Compact"/>
        <w:numPr>
          <w:ilvl w:val="0"/>
          <w:numId w:val="1001"/>
        </w:numPr>
      </w:pPr>
      <w:r>
        <w:t xml:space="preserve">отделять стабильный ключ поля от физического номера поля/подполя записи;</w:t>
      </w:r>
    </w:p>
    <w:p>
      <w:pPr>
        <w:pStyle w:val="Compact"/>
        <w:numPr>
          <w:ilvl w:val="0"/>
          <w:numId w:val="1001"/>
        </w:numPr>
      </w:pPr>
      <w:r>
        <w:t xml:space="preserve">описывать тип данных, подпись, подсказку, обязательность, повторяемость и справочник;</w:t>
      </w:r>
    </w:p>
    <w:p>
      <w:pPr>
        <w:pStyle w:val="Compact"/>
        <w:numPr>
          <w:ilvl w:val="0"/>
          <w:numId w:val="1001"/>
        </w:numPr>
      </w:pPr>
      <w:r>
        <w:t xml:space="preserve">задавать физическую привязку хранения: поле записи, SID-данные, SID-файл, computed или external;</w:t>
      </w:r>
    </w:p>
    <w:p>
      <w:pPr>
        <w:pStyle w:val="Compact"/>
        <w:numPr>
          <w:ilvl w:val="0"/>
          <w:numId w:val="1001"/>
        </w:numPr>
      </w:pPr>
      <w:r>
        <w:t xml:space="preserve">описывать отображение в списке, карточке, печати и API;</w:t>
      </w:r>
    </w:p>
    <w:p>
      <w:pPr>
        <w:pStyle w:val="Compact"/>
        <w:numPr>
          <w:ilvl w:val="0"/>
          <w:numId w:val="1001"/>
        </w:numPr>
      </w:pPr>
      <w:r>
        <w:t xml:space="preserve">задавать search profile: префикс поиска, операторы, сортировку, materialized/full-text режим;</w:t>
      </w:r>
    </w:p>
    <w:p>
      <w:pPr>
        <w:pStyle w:val="Compact"/>
        <w:numPr>
          <w:ilvl w:val="0"/>
          <w:numId w:val="1001"/>
        </w:numPr>
      </w:pPr>
      <w:r>
        <w:t xml:space="preserve">хранить ссылки на permission keys и security scheme, не выполняя проверку прав самостоятельно;</w:t>
      </w:r>
    </w:p>
    <w:p>
      <w:pPr>
        <w:pStyle w:val="Compact"/>
        <w:numPr>
          <w:ilvl w:val="0"/>
          <w:numId w:val="1001"/>
        </w:numPr>
      </w:pPr>
      <w:r>
        <w:t xml:space="preserve">вести явный where-used для screens, views, filters, API, экспорта и Help;</w:t>
      </w:r>
    </w:p>
    <w:p>
      <w:pPr>
        <w:pStyle w:val="Compact"/>
        <w:numPr>
          <w:ilvl w:val="0"/>
          <w:numId w:val="1001"/>
        </w:numPr>
      </w:pPr>
      <w:r>
        <w:t xml:space="preserve">поставлять системные JSON-описания и HealthCheck/TestA-проверки.</w:t>
      </w:r>
    </w:p>
    <w:bookmarkEnd w:id="9"/>
    <w:bookmarkStart w:id="10" w:name="совместимость-с-he2"/>
    <w:p>
      <w:pPr>
        <w:pStyle w:val="Heading3"/>
      </w:pPr>
      <w:r>
        <w:t xml:space="preserve">2. Совместимость с he2</w:t>
      </w:r>
    </w:p>
    <w:p>
      <w:pPr>
        <w:pStyle w:val="FirstParagraph"/>
      </w:pPr>
      <w:r>
        <w:t xml:space="preserve">Старые поля записи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и экспорт в</w:t>
      </w:r>
    </w:p>
    <w:p>
      <w:pPr>
        <w:pStyle w:val="SourceCode"/>
      </w:pPr>
      <w:r>
        <w:rPr>
          <w:rStyle w:val="VerbatimChar"/>
        </w:rPr>
        <w:t xml:space="preserve">DataPath/FieldConfigurations/&lt;fieldHost&gt;/&lt;moduletype&gt;</w:t>
      </w:r>
    </w:p>
    <w:p>
      <w:pPr>
        <w:pStyle w:val="FirstParagraph"/>
      </w:pPr>
      <w:r>
        <w:t xml:space="preserve">сохранены как совместимый runtime layer для существующего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Новый контракт не должен зависеть от этой сериализации: новые потребители получают метаданные через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</w:t>
      </w:r>
    </w:p>
    <w:bookmarkEnd w:id="10"/>
    <w:bookmarkStart w:id="11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отвечает за семантику поля и диагностику ссылок на поле.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отвечает за исполнение прав,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he3/ws</w:t>
      </w:r>
      <w:r>
        <w:t xml:space="preserve"> </w:t>
      </w:r>
      <w:r>
        <w:t xml:space="preserve">отвечают за рендер и сохранение экранов,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списки и карточки,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отвечает за фильтры,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 </w:t>
      </w:r>
      <w:r>
        <w:t xml:space="preserve">и другие доменные модули отвечают за бизнес-логику.</w:t>
      </w:r>
    </w:p>
    <w:bookmarkEnd w:id="11"/>
    <w:bookmarkEnd w:id="12"/>
    <w:bookmarkStart w:id="18" w:name="Xb4629802350124cd2ef741373e8fd06c799d1fd"/>
    <w:p>
      <w:pPr>
        <w:pStyle w:val="Heading2"/>
      </w:pPr>
      <w:r>
        <w:t xml:space="preserve">Руководство администратора FieldConfiguration</w:t>
      </w:r>
    </w:p>
    <w:bookmarkStart w:id="13" w:name="запись-поля"/>
    <w:p>
      <w:pPr>
        <w:pStyle w:val="Heading3"/>
      </w:pPr>
      <w:r>
        <w:t xml:space="preserve">1. Запись поля</w:t>
      </w:r>
    </w:p>
    <w:p>
      <w:pPr>
        <w:pStyle w:val="FirstParagraph"/>
      </w:pPr>
      <w:r>
        <w:t xml:space="preserve">Для нового поля заполните секцию</w:t>
      </w:r>
      <w:r>
        <w:t xml:space="preserve"> </w:t>
      </w:r>
      <w:r>
        <w:rPr>
          <w:rStyle w:val="VerbatimChar"/>
        </w:rPr>
        <w:t xml:space="preserve">Реестр поля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 поля</w:t>
      </w:r>
      <w:r>
        <w:t xml:space="preserve"> </w:t>
      </w:r>
      <w:r>
        <w:t xml:space="preserve">- стабильное имя, например</w:t>
      </w:r>
      <w:r>
        <w:t xml:space="preserve"> </w:t>
      </w:r>
      <w:r>
        <w:rPr>
          <w:rStyle w:val="VerbatimChar"/>
        </w:rPr>
        <w:t xml:space="preserve">task.assignee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Модуль-владелец</w:t>
      </w:r>
      <w:r>
        <w:t xml:space="preserve"> </w:t>
      </w:r>
      <w:r>
        <w:t xml:space="preserve">- модуль, которому принадлежит смысл поля.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записи</w:t>
      </w:r>
      <w:r>
        <w:t xml:space="preserve"> </w:t>
      </w:r>
      <w:r>
        <w:t xml:space="preserve">- тип записи, для которой действует поле.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Область действия</w:t>
      </w:r>
      <w:r>
        <w:t xml:space="preserve"> </w:t>
      </w:r>
      <w:r>
        <w:t xml:space="preserve">- системная, модульная, проектная или runtime.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Тип данных</w:t>
      </w:r>
      <w:r>
        <w:t xml:space="preserve"> </w:t>
      </w:r>
      <w:r>
        <w:t xml:space="preserve">- логический тип значения.</w:t>
      </w:r>
    </w:p>
    <w:p>
      <w:pPr>
        <w:pStyle w:val="FirstParagraph"/>
      </w:pPr>
      <w:r>
        <w:t xml:space="preserve">Физический номер поля указывается в секции</w:t>
      </w:r>
      <w:r>
        <w:t xml:space="preserve"> </w:t>
      </w:r>
      <w:r>
        <w:rPr>
          <w:rStyle w:val="VerbatimChar"/>
        </w:rPr>
        <w:t xml:space="preserve">Физическая привязка хранения</w:t>
      </w:r>
      <w:r>
        <w:t xml:space="preserve">. Этот номер не должен использоваться напрямую в новых screens/views/filters/API, если есть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.</w:t>
      </w:r>
    </w:p>
    <w:bookmarkEnd w:id="13"/>
    <w:bookmarkStart w:id="14" w:name="профили"/>
    <w:p>
      <w:pPr>
        <w:pStyle w:val="Heading3"/>
      </w:pPr>
      <w:r>
        <w:t xml:space="preserve">2. Профили</w:t>
      </w:r>
    </w:p>
    <w:p>
      <w:pPr>
        <w:pStyle w:val="FirstParagraph"/>
      </w:pPr>
      <w:r>
        <w:rPr>
          <w:rStyle w:val="VerbatimChar"/>
        </w:rPr>
        <w:t xml:space="preserve">Профиль ввода</w:t>
      </w:r>
      <w:r>
        <w:t xml:space="preserve"> </w:t>
      </w:r>
      <w:r>
        <w:t xml:space="preserve">описывает, как поле можно вводить: редактор, обязательность, справочник, повторяемость и публичный ввод.</w:t>
      </w:r>
    </w:p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Отображение, поиск, API и права</w:t>
      </w:r>
      <w:r>
        <w:t xml:space="preserve"> </w:t>
      </w:r>
      <w:r>
        <w:t xml:space="preserve">задает подписи для интерфейса, форматы, search prefix, API-имена и ссылки на права. Сами права проверяет модуль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</w:t>
      </w:r>
    </w:p>
    <w:bookmarkEnd w:id="14"/>
    <w:bookmarkStart w:id="15" w:name="наборы-полей"/>
    <w:p>
      <w:pPr>
        <w:pStyle w:val="Heading3"/>
      </w:pPr>
      <w:r>
        <w:t xml:space="preserve">3. Наборы полей</w:t>
      </w:r>
    </w:p>
    <w:p>
      <w:pPr>
        <w:pStyle w:val="FirstParagraph"/>
      </w:pPr>
      <w:r>
        <w:t xml:space="preserve">Если заполнен</w:t>
      </w:r>
      <w:r>
        <w:t xml:space="preserve"> </w:t>
      </w:r>
      <w:r>
        <w:rPr>
          <w:rStyle w:val="VerbatimChar"/>
        </w:rPr>
        <w:t xml:space="preserve">Ключ набора</w:t>
      </w:r>
      <w:r>
        <w:t xml:space="preserve">, запись считается</w:t>
      </w:r>
      <w:r>
        <w:t xml:space="preserve"> </w:t>
      </w:r>
      <w:r>
        <w:rPr>
          <w:rStyle w:val="VerbatimChar"/>
        </w:rPr>
        <w:t xml:space="preserve">FieldPack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Поля набора</w:t>
      </w:r>
      <w:r>
        <w:t xml:space="preserve"> </w:t>
      </w:r>
      <w:r>
        <w:t xml:space="preserve">перечислите field keys, порядок и обязательность. Набор удобно использовать как базовый контракт для типа записи или проекта.</w:t>
      </w:r>
    </w:p>
    <w:bookmarkEnd w:id="15"/>
    <w:bookmarkStart w:id="16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В таблице</w:t>
      </w:r>
      <w:r>
        <w:t xml:space="preserve"> </w:t>
      </w:r>
      <w:r>
        <w:rPr>
          <w:rStyle w:val="VerbatimChar"/>
        </w:rPr>
        <w:t xml:space="preserve">Где используется</w:t>
      </w:r>
      <w:r>
        <w:t xml:space="preserve"> </w:t>
      </w:r>
      <w:r>
        <w:t xml:space="preserve">фиксируются явные потребители поля. Это помогает понять последствия изменения field key, search profile или физической привязки.</w:t>
      </w:r>
    </w:p>
    <w:bookmarkEnd w:id="16"/>
    <w:bookmarkStart w:id="17" w:name="системные-записи"/>
    <w:p>
      <w:pPr>
        <w:pStyle w:val="Heading3"/>
      </w:pPr>
      <w:r>
        <w:t xml:space="preserve">5. Системные записи</w:t>
      </w:r>
    </w:p>
    <w:p>
      <w:pPr>
        <w:pStyle w:val="FirstParagraph"/>
      </w:pPr>
      <w:r>
        <w:t xml:space="preserve">Системные описания поставляются через JSON в модуле и помечаются как системные. Их изменение должно выполняться в рамках разработки соответствующего системного пакета, а не как локальная настройка стенда.</w:t>
      </w:r>
    </w:p>
    <w:bookmarkEnd w:id="17"/>
    <w:bookmarkEnd w:id="18"/>
    <w:bookmarkStart w:id="22" w:name="X50e859191e1795199d1594a3cad120fc4266973"/>
    <w:p>
      <w:pPr>
        <w:pStyle w:val="Heading2"/>
      </w:pPr>
      <w:r>
        <w:t xml:space="preserve">Руководство программиста FieldConfiguration</w:t>
      </w:r>
    </w:p>
    <w:bookmarkStart w:id="19" w:name="основной-контракт"/>
    <w:p>
      <w:pPr>
        <w:pStyle w:val="Heading3"/>
      </w:pPr>
      <w:r>
        <w:t xml:space="preserve">1. Основной контракт</w:t>
      </w:r>
    </w:p>
    <w:p>
      <w:pPr>
        <w:pStyle w:val="FirstParagraph"/>
      </w:pPr>
      <w:r>
        <w:t xml:space="preserve">Публичные операции модуля реализованы в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 </w:t>
      </w:r>
      <w:r>
        <w:t xml:space="preserve">содержит системный класс модуля, record-backed DTO</w:t>
      </w:r>
      <w:r>
        <w:t xml:space="preserve"> </w:t>
      </w:r>
      <w:r>
        <w:rPr>
          <w:rStyle w:val="VerbatimChar"/>
        </w:rPr>
        <w:t xml:space="preserve">ObjectDataFieldConfigurationDefinition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ObjectDataFieldConfigurationPack</w:t>
      </w:r>
      <w:r>
        <w:t xml:space="preserve">, hooks сохранения и PHPDoc</w:t>
      </w:r>
      <w:r>
        <w:t xml:space="preserve"> </w:t>
      </w:r>
      <w:r>
        <w:rPr>
          <w:rStyle w:val="VerbatimChar"/>
        </w:rPr>
        <w:t xml:space="preserve">@method</w:t>
      </w:r>
      <w:r>
        <w:t xml:space="preserve">-описания.</w:t>
      </w:r>
    </w:p>
    <w:p>
      <w:pPr>
        <w:pStyle w:val="BodyText"/>
      </w:pPr>
      <w:r>
        <w:rPr>
          <w:rStyle w:val="VerbatimChar"/>
        </w:rPr>
        <w:t xml:space="preserve">ObjectData</w:t>
      </w:r>
      <w:r>
        <w:t xml:space="preserve">-объекты используют стандартный маршрут вызова: отсутствующий метод объекта передается в управляющий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, а затем в соответствующий</w:t>
      </w:r>
      <w:r>
        <w:t xml:space="preserve"> </w:t>
      </w:r>
      <w:r>
        <w:rPr>
          <w:rStyle w:val="VerbatimChar"/>
        </w:rPr>
        <w:t xml:space="preserve">__call/*.inc</w:t>
      </w:r>
      <w:r>
        <w:t xml:space="preserve">.</w:t>
      </w:r>
    </w:p>
    <w:bookmarkEnd w:id="19"/>
    <w:bookmarkStart w:id="20" w:name="основные-функции"/>
    <w:p>
      <w:pPr>
        <w:pStyle w:val="Heading3"/>
      </w:pPr>
      <w:r>
        <w:t xml:space="preserve">2. Основные функции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NormalizeFieldDefinition(array $definition)</w:t>
      </w:r>
      <w:r>
        <w:t xml:space="preserve"> </w:t>
      </w:r>
      <w:r>
        <w:t xml:space="preserve">приводит JSON/array описание поля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NormalizeFieldPack(array $pack)</w:t>
      </w:r>
      <w:r>
        <w:t xml:space="preserve"> </w:t>
      </w:r>
      <w:r>
        <w:t xml:space="preserve">приводит описание набора полей к единому контракту.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ResolveFieldDefinition(array $definitions, array $context)</w:t>
      </w:r>
      <w:r>
        <w:t xml:space="preserve"> </w:t>
      </w:r>
      <w:r>
        <w:t xml:space="preserve">выбирает лучшее описание поля для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owner module, record type, scope и project.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BuildWhereUsedReport(array $definitions, array $consumers)</w:t>
      </w:r>
      <w:r>
        <w:t xml:space="preserve"> </w:t>
      </w:r>
      <w:r>
        <w:t xml:space="preserve">строит безопасную диагностику явных потребителей.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GetSystemDefinitions()</w:t>
      </w:r>
      <w:r>
        <w:t xml:space="preserve"> </w:t>
      </w:r>
      <w:r>
        <w:t xml:space="preserve">читает системный JSON без записи в БД.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HealthCheckDefinition()</w:t>
      </w:r>
      <w:r>
        <w:t xml:space="preserve"> </w:t>
      </w:r>
      <w:r>
        <w:t xml:space="preserve">возвращает описание проверок для будущего HealthCheck provider.</w:t>
      </w:r>
    </w:p>
    <w:bookmarkEnd w:id="20"/>
    <w:bookmarkStart w:id="21" w:name="не-входит-в-модуль"/>
    <w:p>
      <w:pPr>
        <w:pStyle w:val="Heading3"/>
      </w:pPr>
      <w:r>
        <w:t xml:space="preserve">3. Не входит в модуль</w:t>
      </w:r>
    </w:p>
    <w:p>
      <w:pPr>
        <w:pStyle w:val="FirstParagraph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не должен:</w:t>
      </w:r>
    </w:p>
    <w:p>
      <w:pPr>
        <w:pStyle w:val="Compact"/>
        <w:numPr>
          <w:ilvl w:val="0"/>
          <w:numId w:val="1004"/>
        </w:numPr>
      </w:pPr>
      <w:r>
        <w:t xml:space="preserve">проверять права пользователя;</w:t>
      </w:r>
    </w:p>
    <w:p>
      <w:pPr>
        <w:pStyle w:val="Compact"/>
        <w:numPr>
          <w:ilvl w:val="0"/>
          <w:numId w:val="1004"/>
        </w:numPr>
      </w:pPr>
      <w:r>
        <w:t xml:space="preserve">выполнять переходы Workflow;</w:t>
      </w:r>
    </w:p>
    <w:p>
      <w:pPr>
        <w:pStyle w:val="Compact"/>
        <w:numPr>
          <w:ilvl w:val="0"/>
          <w:numId w:val="1004"/>
        </w:numPr>
      </w:pPr>
      <w:r>
        <w:t xml:space="preserve">строить страницы списков и карточек;</w:t>
      </w:r>
    </w:p>
    <w:p>
      <w:pPr>
        <w:pStyle w:val="Compact"/>
        <w:numPr>
          <w:ilvl w:val="0"/>
          <w:numId w:val="1004"/>
        </w:numPr>
      </w:pPr>
      <w:r>
        <w:t xml:space="preserve">применять доменную валидацию Tasks;</w:t>
      </w:r>
    </w:p>
    <w:p>
      <w:pPr>
        <w:pStyle w:val="Compact"/>
        <w:numPr>
          <w:ilvl w:val="0"/>
          <w:numId w:val="1004"/>
        </w:numPr>
      </w:pPr>
      <w:r>
        <w:t xml:space="preserve">выполнять FieldHistory diff;</w:t>
      </w:r>
    </w:p>
    <w:p>
      <w:pPr>
        <w:pStyle w:val="Compact"/>
        <w:numPr>
          <w:ilvl w:val="0"/>
          <w:numId w:val="1004"/>
        </w:numPr>
      </w:pPr>
      <w:r>
        <w:t xml:space="preserve">импортировать вложения или запускать фоновые задания.</w:t>
      </w:r>
    </w:p>
    <w:p>
      <w:pPr>
        <w:pStyle w:val="FirstParagraph"/>
      </w:pPr>
      <w:r>
        <w:t xml:space="preserve">Такие действия должны оставаться в owner-модулях и использовать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 </w:t>
      </w:r>
      <w:r>
        <w:t xml:space="preserve">только как источник field metadata.</w:t>
      </w:r>
    </w:p>
    <w:bookmarkEnd w:id="21"/>
    <w:bookmarkEnd w:id="22"/>
    <w:bookmarkStart w:id="26" w:name="эксплуатация-fieldconfiguration"/>
    <w:p>
      <w:pPr>
        <w:pStyle w:val="Heading2"/>
      </w:pPr>
      <w:r>
        <w:t xml:space="preserve">Эксплуатация FieldConfiguration</w:t>
      </w:r>
    </w:p>
    <w:bookmarkStart w:id="23" w:name="проверки"/>
    <w:p>
      <w:pPr>
        <w:pStyle w:val="Heading3"/>
      </w:pPr>
      <w:r>
        <w:t xml:space="preserve">1. Проверки</w:t>
      </w:r>
    </w:p>
    <w:p>
      <w:pPr>
        <w:pStyle w:val="FirstParagraph"/>
      </w:pPr>
      <w:r>
        <w:t xml:space="preserve">Минимальная проверка первого промышленного среза:</w:t>
      </w:r>
    </w:p>
    <w:p>
      <w:pPr>
        <w:pStyle w:val="SourceCode"/>
      </w:pPr>
      <w:r>
        <w:rPr>
          <w:rStyle w:val="VerbatimChar"/>
        </w:rPr>
        <w:t xml:space="preserve">UseModule('TestA')-&gt;RunModule('FieldConfiguration', array('levels' =&gt; 'safe-read'))</w:t>
      </w:r>
    </w:p>
    <w:p>
      <w:pPr>
        <w:pStyle w:val="FirstParagraph"/>
      </w:pPr>
      <w:r>
        <w:t xml:space="preserve">Проверяются нормализация field definitions, выбор поля по контексту, where-used diagnostics, legacy-export в dry-run режиме, системный JSON и HealthCheck-описание.</w:t>
      </w:r>
    </w:p>
    <w:bookmarkEnd w:id="23"/>
    <w:bookmarkStart w:id="24" w:name="диагностика"/>
    <w:p>
      <w:pPr>
        <w:pStyle w:val="Heading3"/>
      </w:pPr>
      <w:r>
        <w:t xml:space="preserve">2. Диагностика</w:t>
      </w:r>
    </w:p>
    <w:p>
      <w:pPr>
        <w:pStyle w:val="FirstParagraph"/>
      </w:pPr>
      <w:r>
        <w:t xml:space="preserve">Если поле не находится по</w:t>
      </w:r>
      <w:r>
        <w:t xml:space="preserve"> </w:t>
      </w:r>
      <w:r>
        <w:rPr>
          <w:rStyle w:val="VerbatimChar"/>
        </w:rPr>
        <w:t xml:space="preserve">fieldKey</w:t>
      </w:r>
      <w:r>
        <w:t xml:space="preserve">, проверьте:</w:t>
      </w:r>
    </w:p>
    <w:p>
      <w:pPr>
        <w:pStyle w:val="Compact"/>
        <w:numPr>
          <w:ilvl w:val="0"/>
          <w:numId w:val="1005"/>
        </w:numPr>
      </w:pPr>
      <w:r>
        <w:t xml:space="preserve">активность описания;</w:t>
      </w:r>
    </w:p>
    <w:p>
      <w:pPr>
        <w:pStyle w:val="Compact"/>
        <w:numPr>
          <w:ilvl w:val="0"/>
          <w:numId w:val="1005"/>
        </w:numPr>
      </w:pPr>
      <w:r>
        <w:t xml:space="preserve">совпадение owner module и record type;</w:t>
      </w:r>
    </w:p>
    <w:p>
      <w:pPr>
        <w:pStyle w:val="Compact"/>
        <w:numPr>
          <w:ilvl w:val="0"/>
          <w:numId w:val="1005"/>
        </w:numPr>
      </w:pPr>
      <w:r>
        <w:t xml:space="preserve">scope и project key;</w:t>
      </w:r>
    </w:p>
    <w:p>
      <w:pPr>
        <w:pStyle w:val="Compact"/>
        <w:numPr>
          <w:ilvl w:val="0"/>
          <w:numId w:val="1005"/>
        </w:numPr>
      </w:pPr>
      <w:r>
        <w:t xml:space="preserve">отсутствие дублей с одинаковым field key в одном scope;</w:t>
      </w:r>
    </w:p>
    <w:p>
      <w:pPr>
        <w:pStyle w:val="Compact"/>
        <w:numPr>
          <w:ilvl w:val="0"/>
          <w:numId w:val="1005"/>
        </w:numPr>
      </w:pPr>
      <w:r>
        <w:t xml:space="preserve">корректность</w:t>
      </w:r>
      <w:r>
        <w:t xml:space="preserve"> </w:t>
      </w:r>
      <w:r>
        <w:rPr>
          <w:rStyle w:val="VerbatimChar"/>
        </w:rPr>
        <w:t xml:space="preserve">storageBinding</w:t>
      </w:r>
      <w:r>
        <w:t xml:space="preserve"> </w:t>
      </w:r>
      <w:r>
        <w:t xml:space="preserve">и search prefix.</w:t>
      </w:r>
    </w:p>
    <w:p>
      <w:pPr>
        <w:pStyle w:val="FirstParagraph"/>
      </w:pPr>
      <w:r>
        <w:t xml:space="preserve">Если старый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не видит настройку, проверьте legacy-поля</w:t>
      </w:r>
      <w:r>
        <w:t xml:space="preserve"> </w:t>
      </w:r>
      <w:r>
        <w:rPr>
          <w:rStyle w:val="VerbatimChar"/>
        </w:rPr>
        <w:t xml:space="preserve">fieldHost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varName</w:t>
      </w:r>
      <w:r>
        <w:t xml:space="preserve"> </w:t>
      </w:r>
      <w:r>
        <w:t xml:space="preserve">и наличие файла в</w:t>
      </w:r>
      <w:r>
        <w:t xml:space="preserve"> </w:t>
      </w:r>
      <w:r>
        <w:rPr>
          <w:rStyle w:val="VerbatimChar"/>
        </w:rPr>
        <w:t xml:space="preserve">DataPath/FieldConfigurations/&lt;fieldHost&gt;/&lt;moduletype&gt;</w:t>
      </w:r>
      <w:r>
        <w:t xml:space="preserve">.</w:t>
      </w:r>
    </w:p>
    <w:bookmarkEnd w:id="24"/>
    <w:bookmarkStart w:id="25" w:name="healthcheck"/>
    <w:p>
      <w:pPr>
        <w:pStyle w:val="Heading3"/>
      </w:pPr>
      <w:r>
        <w:t xml:space="preserve">3. HealthCheck</w:t>
      </w:r>
    </w:p>
    <w:p>
      <w:pPr>
        <w:pStyle w:val="FirstParagraph"/>
      </w:pPr>
      <w:r>
        <w:t xml:space="preserve">Будущий HealthCheck provider должен проверять системный JSON, уникальность ключей, валидность физической привязки, where-used и отсутствие доменной логики потребителей внутри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</w:t>
      </w:r>
    </w:p>
    <w:bookmarkEnd w:id="25"/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Настройки поля</dc:title>
  <dc:creator/>
  <cp:keywords/>
  <dcterms:created xsi:type="dcterms:W3CDTF">2026-10-03T14:27:29Z</dcterms:created>
  <dcterms:modified xsi:type="dcterms:W3CDTF">2026-10-03T14:27:29Z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