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[I128-2502] Управление пользователями: авторизационные поля обновляются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b956d7d8343865b29c8674b65d8f320400c71"/>
    <w:p>
      <w:pPr>
        <w:pStyle w:val="Heading1"/>
      </w:pPr>
      <w:r>
        <w:t xml:space="preserve">[I128-2502] Управление пользователями: авторизационные поля обновляются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при изменении email/пароля авторизационное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собирается вручную строкой и записывается через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FieldAdd()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Оба сценария обновления авторизационных данных переводятся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для пользователя не меняется: email, пароль, код подтверждения и служебные признаки продолжают сохраняться, но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выполняется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ручная сборка поля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UseModule('Security')-&gt;MaterializeAuth()</w:t>
      </w:r>
      <w:r>
        <w:t xml:space="preserve"> </w:t>
      </w:r>
      <w:r>
        <w:t xml:space="preserve">в обоих сценариях обновления учетных данных.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изменения данных не меняется, исправляется внутренний способ записи авторизационного поля.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[I128-2502] Управление пользователями: авторизационные поля обновляются через Security</dc:title>
  <dc:creator/>
  <cp:keywords/>
  <dcterms:created xsi:type="dcterms:W3CDTF">2026-10-08T12:41:14Z</dcterms:created>
  <dcterms:modified xsi:type="dcterms:W3CDTF">2026-10-08T12:41:14Z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