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пополнения Итоговой КСУ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стройка-режима-пополнения-итоговой-ксу"/>
    <w:p>
      <w:pPr>
        <w:pStyle w:val="Heading1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9" w:name="Xa63a69e29ac15f97d4e6ea2715ce5064a368e54"/>
    <w:p>
      <w:pPr>
        <w:pStyle w:val="Heading2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9"/>
    <w:bookmarkStart w:id="10" w:name="Xf2e180a6440f1252337d780b12266729b2f8ef9"/>
    <w:p>
      <w:pPr>
        <w:pStyle w:val="Heading2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пополнения Итоговой КСУ</dc:title>
  <dc:creator/>
  <cp:keywords/>
  <dcterms:created xsi:type="dcterms:W3CDTF">2026-10-04T05:37:45Z</dcterms:created>
  <dcterms:modified xsi:type="dcterms:W3CDTF">2026-10-04T05:37:45Z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