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Профили внешней интеграции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профили-внешней-интеграции"/>
    <w:p>
      <w:pPr>
        <w:pStyle w:val="Heading1"/>
      </w:pPr>
      <w:r>
        <w:t xml:space="preserve">Профили внешней интеграции</w:t>
      </w:r>
    </w:p>
    <w:p>
      <w:pPr>
        <w:pStyle w:val="FirstParagraph"/>
      </w:pPr>
      <w:r>
        <w:t xml:space="preserve">Профиль внешней интеграции описывает, как внешняя система будет использовать API-контракт ИРБИС 128. Это metadata-настройка, а не runtime engine синхронизации.</w:t>
      </w:r>
    </w:p>
    <w:bookmarkStart w:id="9" w:name="что-хранит-профиль"/>
    <w:p>
      <w:pPr>
        <w:pStyle w:val="Heading2"/>
      </w:pPr>
      <w:r>
        <w:t xml:space="preserve">1. Что хранит профиль</w:t>
      </w:r>
    </w:p>
    <w:p>
      <w:pPr>
        <w:pStyle w:val="FirstParagraph"/>
      </w:pPr>
      <w:r>
        <w:t xml:space="preserve">Профиль содержит:</w:t>
      </w:r>
    </w:p>
    <w:p>
      <w:pPr>
        <w:pStyle w:val="Compact"/>
        <w:numPr>
          <w:ilvl w:val="0"/>
          <w:numId w:val="1001"/>
        </w:numPr>
      </w:pPr>
      <w:r>
        <w:t xml:space="preserve">стабильный ключ и название;</w:t>
      </w:r>
    </w:p>
    <w:p>
      <w:pPr>
        <w:pStyle w:val="Compact"/>
        <w:numPr>
          <w:ilvl w:val="0"/>
          <w:numId w:val="1001"/>
        </w:numPr>
      </w:pPr>
      <w:r>
        <w:t xml:space="preserve">внешнюю систему или класс интеграции;</w:t>
      </w:r>
    </w:p>
    <w:p>
      <w:pPr>
        <w:pStyle w:val="Compact"/>
        <w:numPr>
          <w:ilvl w:val="0"/>
          <w:numId w:val="1001"/>
        </w:numPr>
      </w:pPr>
      <w:r>
        <w:t xml:space="preserve">направление обмена: входящее, исходящее или двустороннее;</w:t>
      </w:r>
    </w:p>
    <w:p>
      <w:pPr>
        <w:pStyle w:val="Compact"/>
        <w:numPr>
          <w:ilvl w:val="0"/>
          <w:numId w:val="1001"/>
        </w:numPr>
      </w:pPr>
      <w:r>
        <w:t xml:space="preserve">ссылку на API-контракт и его версию;</w:t>
      </w:r>
    </w:p>
    <w:p>
      <w:pPr>
        <w:pStyle w:val="Compact"/>
        <w:numPr>
          <w:ilvl w:val="0"/>
          <w:numId w:val="1001"/>
        </w:numPr>
      </w:pPr>
      <w:r>
        <w:t xml:space="preserve">transport profile;</w:t>
      </w:r>
    </w:p>
    <w:p>
      <w:pPr>
        <w:pStyle w:val="Compact"/>
        <w:numPr>
          <w:ilvl w:val="0"/>
          <w:numId w:val="1001"/>
        </w:numPr>
      </w:pPr>
      <w:r>
        <w:t xml:space="preserve">security subject или сервисную учетную запись;</w:t>
      </w:r>
    </w:p>
    <w:p>
      <w:pPr>
        <w:pStyle w:val="Compact"/>
        <w:numPr>
          <w:ilvl w:val="0"/>
          <w:numId w:val="1001"/>
        </w:numPr>
      </w:pPr>
      <w:r>
        <w:t xml:space="preserve">ссылки на Secrets;</w:t>
      </w:r>
    </w:p>
    <w:p>
      <w:pPr>
        <w:pStyle w:val="Compact"/>
        <w:numPr>
          <w:ilvl w:val="0"/>
          <w:numId w:val="1001"/>
        </w:numPr>
      </w:pPr>
      <w:r>
        <w:t xml:space="preserve">ссылки на mapping profiles, SyncPolicy и базовые mapping metadata;</w:t>
      </w:r>
    </w:p>
    <w:p>
      <w:pPr>
        <w:pStyle w:val="Compact"/>
        <w:numPr>
          <w:ilvl w:val="0"/>
          <w:numId w:val="1001"/>
        </w:numPr>
      </w:pPr>
      <w:r>
        <w:t xml:space="preserve">idempotency policy;</w:t>
      </w:r>
    </w:p>
    <w:p>
      <w:pPr>
        <w:pStyle w:val="Compact"/>
        <w:numPr>
          <w:ilvl w:val="0"/>
          <w:numId w:val="1001"/>
        </w:numPr>
      </w:pPr>
      <w:r>
        <w:t xml:space="preserve">external id policy;</w:t>
      </w:r>
    </w:p>
    <w:p>
      <w:pPr>
        <w:pStyle w:val="Compact"/>
        <w:numPr>
          <w:ilvl w:val="0"/>
          <w:numId w:val="1001"/>
        </w:numPr>
      </w:pPr>
      <w:r>
        <w:t xml:space="preserve">режим dry-run по умолчанию;</w:t>
      </w:r>
    </w:p>
    <w:p>
      <w:pPr>
        <w:pStyle w:val="Compact"/>
        <w:numPr>
          <w:ilvl w:val="0"/>
          <w:numId w:val="1001"/>
        </w:numPr>
      </w:pPr>
      <w:r>
        <w:t xml:space="preserve">безопасные диагностические признаки.</w:t>
      </w:r>
    </w:p>
    <w:p>
      <w:pPr>
        <w:pStyle w:val="FirstParagraph"/>
      </w:pPr>
      <w:r>
        <w:t xml:space="preserve">Значения паролей, tokens, private keys и других секретов в профиле хранить нельзя. Для них используются только ссылки на модуль</w:t>
      </w:r>
      <w:r>
        <w:t xml:space="preserve"> </w:t>
      </w:r>
      <w:r>
        <w:rPr>
          <w:rStyle w:val="VerbatimChar"/>
        </w:rPr>
        <w:t xml:space="preserve">Secrets</w:t>
      </w:r>
      <w:r>
        <w:t xml:space="preserve">.</w:t>
      </w:r>
    </w:p>
    <w:bookmarkEnd w:id="9"/>
    <w:bookmarkStart w:id="10" w:name="что-не-входит-в-профиль"/>
    <w:p>
      <w:pPr>
        <w:pStyle w:val="Heading2"/>
      </w:pPr>
      <w:r>
        <w:t xml:space="preserve">2. Что не входит в профиль</w:t>
      </w:r>
    </w:p>
    <w:p>
      <w:pPr>
        <w:pStyle w:val="FirstParagraph"/>
      </w:pPr>
      <w:r>
        <w:t xml:space="preserve">Профиль не реализует двустороннюю синхронизацию, conflict resolution, retry, dead-letter, webhook delivery или бизнес-логику предметного модуля. Для политики синхронизации используются отдельные записи</w:t>
      </w:r>
      <w:r>
        <w:t xml:space="preserve"> </w:t>
      </w:r>
      <w:r>
        <w:rPr>
          <w:rStyle w:val="VerbatimChar"/>
        </w:rPr>
        <w:t xml:space="preserve">SyncPolicy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ConflictPolicy</w:t>
      </w:r>
      <w:r>
        <w:t xml:space="preserve">.</w:t>
      </w:r>
    </w:p>
    <w:p>
      <w:pPr>
        <w:pStyle w:val="BodyText"/>
      </w:pPr>
      <w:r>
        <w:t xml:space="preserve">Эти обязанности распределены так: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событиями, inbox/outbox и доставкой.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Queue</w:t>
      </w:r>
      <w:r>
        <w:t xml:space="preserve"> </w:t>
      </w:r>
      <w:r>
        <w:t xml:space="preserve">владеет фоновым выполнением, retry, timeout и dead-letter.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masking.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стабильными field keys.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статусами и переходами.</w:t>
      </w:r>
    </w:p>
    <w:p>
      <w:pPr>
        <w:pStyle w:val="Compact"/>
        <w:numPr>
          <w:ilvl w:val="0"/>
          <w:numId w:val="1002"/>
        </w:numPr>
      </w:pPr>
      <w:r>
        <w:t xml:space="preserve">Доменные модули применяют изменения и проверяют бизнес-правила.</w:t>
      </w:r>
    </w:p>
    <w:bookmarkEnd w:id="10"/>
    <w:bookmarkStart w:id="13" w:name="проверки"/>
    <w:p>
      <w:pPr>
        <w:pStyle w:val="Heading2"/>
      </w:pPr>
      <w:r>
        <w:t xml:space="preserve">3. Проверки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API/ValidateAdapterProfile</w:t>
      </w:r>
      <w:r>
        <w:t xml:space="preserve"> </w:t>
      </w:r>
      <w:r>
        <w:t xml:space="preserve">проверяет обязательные поля профиля, направление обмена, ссылку на APIContract, структуру</w:t>
      </w:r>
      <w:r>
        <w:t xml:space="preserve"> </w:t>
      </w:r>
      <w:r>
        <w:rPr>
          <w:rStyle w:val="VerbatimChar"/>
        </w:rPr>
        <w:t xml:space="preserve">secretRefs</w:t>
      </w:r>
      <w:r>
        <w:t xml:space="preserve"> </w:t>
      </w:r>
      <w:r>
        <w:t xml:space="preserve">и отсутствие secret values.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API/CheckHealth</w:t>
      </w:r>
      <w:r>
        <w:t xml:space="preserve"> </w:t>
      </w:r>
      <w:r>
        <w:t xml:space="preserve">дополнительно проверяет, что профиль ссылается на существующий контракт и не раскрывает секретные значения в export.</w:t>
      </w:r>
    </w:p>
    <w:p>
      <w:pPr>
        <w:pStyle w:val="BodyText"/>
      </w:pPr>
      <w:r>
        <w:t xml:space="preserve">Детальный mapping и реестр ExternalId описаны в разделе</w:t>
      </w:r>
      <w:r>
        <w:t xml:space="preserve"> </w:t>
      </w:r>
      <w:hyperlink r:id="rId11">
        <w:r>
          <w:rPr>
            <w:rStyle w:val="Hyperlink"/>
          </w:rPr>
          <w:t xml:space="preserve">Mapping и ExternalId</w:t>
        </w:r>
      </w:hyperlink>
      <w:r>
        <w:t xml:space="preserve">. Политики sync/conflict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SyncPolicy и ConflictPolicy</w:t>
        </w:r>
      </w:hyperlink>
      <w:r>
        <w:t xml:space="preserve">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API/Help/MappingAndExternalIds" TargetMode="External" /><Relationship Type="http://schemas.openxmlformats.org/officeDocument/2006/relationships/hyperlink" Id="rId12" Target="?id=Help/Show&amp;m=API/Help/SyncPolici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API/Help/MappingAndExternalIds" TargetMode="External" /><Relationship Type="http://schemas.openxmlformats.org/officeDocument/2006/relationships/hyperlink" Id="rId12" Target="?id=Help/Show&amp;m=API/Help/SyncPolici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Профили внешней интеграции</dc:title>
  <dc:creator/>
  <cp:keywords/>
  <dcterms:created xsi:type="dcterms:W3CDTF">2026-10-08T23:59:51Z</dcterms:created>
  <dcterms:modified xsi:type="dcterms:W3CDTF">2026-10-08T23:59:51Z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