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Прочитать запись (C)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прочитать-запись-c"/>
    <w:p>
      <w:pPr>
        <w:pStyle w:val="Heading1"/>
      </w:pPr>
      <w:r>
        <w:t xml:space="preserve">Прочитать запись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из мастер-файла базы данных по MFN.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При успешном чтении возвращается запись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прочитана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</w:tbl>
    <w:bookmarkEnd w:id="10"/>
    <w:bookmarkStart w:id="11" w:name="комментарий"/>
    <w:p>
      <w:pPr>
        <w:pStyle w:val="Heading2"/>
      </w:pPr>
      <w:r>
        <w:t xml:space="preserve">3. Комментарий</w:t>
      </w:r>
    </w:p>
    <w:p>
      <w:pPr>
        <w:pStyle w:val="FirstParagraph"/>
      </w:pPr>
      <w:r>
        <w:t xml:space="preserve">В строке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передаются номер записи и статус записи. Дальше идут поля записи в формате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Прочитать запись (C)</dc:title>
  <dc:creator/>
  <cp:keywords/>
  <dcterms:created xsi:type="dcterms:W3CDTF">2026-10-07T04:34:03Z</dcterms:created>
  <dcterms:modified xsi:type="dcterms:W3CDTF">2026-10-07T04:34:03Z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