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a957b12d0fff2a59c7c82a7a6b8df1f9566d6"/>
    <w:p>
      <w:pPr>
        <w:pStyle w:val="Heading1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Database - Управление базами данных,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DP_Irbis64r - Провайдер данных к удаленному TCP/IP серверу ИРБИС 64/64+, ИРБИС 128. Модуль he2 - Формы ввода данных, ИРБИС 128. Модуль i128f - Управление основной конфигурацией системы, ИРБИС 128. Модуль Ini - Ini-файлы, ИРБИС 128. Модуль ProfileManager - Подсистема управления профилями настроек модулей, ИРБИС 128. Модуль Server64 - Сервер ИРБИС 64, ИРБИС 128. Модуль WIrbis - Системный модуль,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15:09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2"/>
    <w:p>
      <w:pPr>
        <w:pStyle w:val="Heading3"/>
      </w:pPr>
      <w:r>
        <w:t xml:space="preserve">1.1. 🔗 Соответствует задача: I128-2202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[I128-2202]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[I128-2199] Смена обращения к модулю Ini с UseModule(‘Ini’) на Ini::getInstance и проверка корректности вызова всех функций модуля</dc:title>
  <dc:creator/>
  <cp:keywords/>
  <dcterms:created xsi:type="dcterms:W3CDTF">2026-10-09T04:31:29Z</dcterms:created>
  <dcterms:modified xsi:type="dcterms:W3CDTF">2026-10-09T04:31:29Z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