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[I128-1907] Исключена настраиваемая функциональность конвертирования поисковых запросов в полнотекстовые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221cd015b0f1a10bfe029689d1e0665d3395d"/>
    <w:p>
      <w:pPr>
        <w:pStyle w:val="Heading1"/>
      </w:pPr>
      <w:r>
        <w:t xml:space="preserve">[I128-1907] Исключена настраиваемая функциональность конвертирования поисковых запросов в полнотекстовые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08"/>
    <w:p>
      <w:pPr>
        <w:pStyle w:val="Heading3"/>
      </w:pPr>
      <w:r>
        <w:t xml:space="preserve">1.1. 🔗 Соответствует задача: I128-1908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[I128-1908]</w:t>
        </w:r>
      </w:hyperlink>
      <w:r>
        <w:t xml:space="preserve"> </w:t>
      </w:r>
      <w:r>
        <w:t xml:space="preserve">Исключена настраиваемая функциональность конвертирования поисковых запросов в полнотекстовые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[I128-1907] Исключена настраиваемая функциональность конвертирования поисковых запросов в полнотекстовые</dc:title>
  <dc:creator/>
  <cp:keywords/>
  <dcterms:created xsi:type="dcterms:W3CDTF">2026-10-08T20:17:41Z</dcterms:created>
  <dcterms:modified xsi:type="dcterms:W3CDTF">2026-10-08T20:17:41Z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