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[I128-1700] JSON-RPC API и прозрачная авторизация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196eb28c79532ea4d59e45342de4fb8f4237f"/>
    <w:p>
      <w:pPr>
        <w:pStyle w:val="Heading1"/>
      </w:pPr>
      <w:r>
        <w:t xml:space="preserve">[I128-1700] JSON-RPC API и прозрачная авторизация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API/JsonRPC/Root</w:t>
      </w:r>
      <w:r>
        <w:t xml:space="preserve"> </w:t>
      </w:r>
      <w:r>
        <w:t xml:space="preserve">- добавлен контекст точек входа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подключена страница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API/JsonRPC/RecVirtualFormat</w:t>
      </w:r>
      <w:r>
        <w:t xml:space="preserve"> </w:t>
      </w:r>
      <w:r>
        <w:t xml:space="preserve">- уточнены назначение, доступность метода, параметры и пример структуры виртуальной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уточнено описание поиска библиографической записи и результата по экземплярам.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API/JsonRPC/DelUser</w:t>
      </w:r>
      <w:r>
        <w:t xml:space="preserve"> </w:t>
      </w:r>
      <w:r>
        <w:t xml:space="preserve">- уточнены возвращаемые значения и штатные коды ошибок удаления пользователя.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добавлены параметры подписанной прозрачной авторизации из внешней системы.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Обновлена Help</w:t>
      </w:r>
      <w:r>
        <w:rPr>
          <w:strike/>
        </w:rPr>
        <w:t xml:space="preserve">документация для интеграторов и разработчиков: описание JSON</w:t>
      </w:r>
      <w:r>
        <w:t xml:space="preserve">RPC/API приведено в соответствие с расширением API, добавлена навигация к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 уточнены контракты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 а также описаны параметры внешней прозрачной авторизации по подписанной ссылке.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99"/>
    <w:p>
      <w:pPr>
        <w:pStyle w:val="Heading3"/>
      </w:pPr>
      <w:r>
        <w:t xml:space="preserve">1.1. 🔗 Соответствует задача: I128-1699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[I128-1699]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[I128-1700] JSON-RPC API и прозрачная авторизация</dc:title>
  <dc:creator/>
  <cp:keywords/>
  <dcterms:created xsi:type="dcterms:W3CDTF">2026-10-09T03:07:52Z</dcterms:created>
  <dcterms:modified xsi:type="dcterms:W3CDTF">2026-10-09T03:07:52Z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