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POLZV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olzv"/>
    <w:p>
      <w:pPr>
        <w:pStyle w:val="Heading1"/>
      </w:pPr>
      <w:r>
        <w:t xml:space="preserve">Назначение POLZV</w:t>
      </w:r>
    </w:p>
    <w:p>
      <w:pPr>
        <w:pStyle w:val="FirstParagraph"/>
      </w:pPr>
      <w:r>
        <w:rPr>
          <w:rStyle w:val="VerbatimChar"/>
        </w:rPr>
        <w:t xml:space="preserve">POLZV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 Он предназначен для хранения данных пользователя в контуре комплектования.</w:t>
      </w:r>
    </w:p>
    <w:p>
      <w:pPr>
        <w:pStyle w:val="BodyText"/>
      </w:pPr>
      <w:r>
        <w:t xml:space="preserve">Структура редактора задается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, а отображение записи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POLZV</dc:title>
  <dc:creator/>
  <cp:keywords/>
  <dcterms:created xsi:type="dcterms:W3CDTF">2026-10-09T05:11:34Z</dcterms:created>
  <dcterms:modified xsi:type="dcterms:W3CDTF">2026-10-09T05:11:34Z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