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Признак иностранного агента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1" w:name="признак-иностранного-агента"/>
    <w:p>
      <w:pPr>
        <w:pStyle w:val="Heading1"/>
      </w:pPr>
      <w:r>
        <w:t xml:space="preserve">Признак иностранного агента</w:t>
      </w:r>
    </w:p>
    <w:p>
      <w:pPr>
        <w:pStyle w:val="FirstParagraph"/>
      </w:pPr>
      <w:r>
        <w:rPr>
          <w:rStyle w:val="VerbatimChar"/>
        </w:rPr>
        <w:t xml:space="preserve">ATHRA</w:t>
      </w:r>
      <w:r>
        <w:t xml:space="preserve"> </w:t>
      </w:r>
      <w:r>
        <w:t xml:space="preserve">используется при выборе индивидуального автора из авторитетного файла, в том числе через метод ввода 10 в записи каталога. Если для автора должен передаваться признак иностранного агента, каталогизатор заполняет этот признак в предусмотренном для него поле каталога, а не добавляет восклицательный знак в текст заголовка вручную.</w:t>
      </w:r>
    </w:p>
    <w:bookmarkStart w:id="9" w:name="как-работает-признак"/>
    <w:p>
      <w:pPr>
        <w:pStyle w:val="Heading2"/>
      </w:pPr>
      <w:r>
        <w:t xml:space="preserve">1. Как работает признак</w:t>
      </w:r>
    </w:p>
    <w:p>
      <w:pPr>
        <w:pStyle w:val="FirstParagraph"/>
      </w:pPr>
      <w:r>
        <w:t xml:space="preserve">В записи каталога признак связан с полем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и подполем</w:t>
      </w:r>
      <w:r>
        <w:t xml:space="preserve"> </w:t>
      </w:r>
      <w:r>
        <w:rPr>
          <w:rStyle w:val="VerbatimChar"/>
        </w:rPr>
        <w:t xml:space="preserve">333^A</w:t>
      </w:r>
      <w:r>
        <w:t xml:space="preserve">. Значение выбирается из справочника, принятого для описания особенностей распространения и использования.</w:t>
      </w:r>
    </w:p>
    <w:p>
      <w:pPr>
        <w:pStyle w:val="BodyText"/>
      </w:pPr>
      <w:r>
        <w:t xml:space="preserve">При переносе автора через авторитетный файл система сопоставляет запись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с заголовком автора и передает служебный признак в авторитетные данные. В рабочих листах авторитетного файла он соответствует подполю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с назначением</w:t>
      </w:r>
      <w:r>
        <w:t xml:space="preserve"> </w:t>
      </w:r>
      <w:r>
        <w:rPr>
          <w:rStyle w:val="VerbatimChar"/>
        </w:rPr>
        <w:t xml:space="preserve">Требуется редактирование</w:t>
      </w:r>
      <w:r>
        <w:t xml:space="preserve">.</w:t>
      </w:r>
    </w:p>
    <w:p>
      <w:pPr>
        <w:pStyle w:val="BodyText"/>
      </w:pPr>
      <w:r>
        <w:t xml:space="preserve">Форматы просмотра и переноса авторитетной записи учитывают этот служебный признак. Поэтому в пользовательском отображении или после вставки автора из авторитетного файла перед автором может появляться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, если исходные данные указывают на соответствующий признак.</w:t>
      </w:r>
    </w:p>
    <w:bookmarkEnd w:id="9"/>
    <w:bookmarkStart w:id="10" w:name="что-проверять-при-редактировании"/>
    <w:p>
      <w:pPr>
        <w:pStyle w:val="Heading2"/>
      </w:pPr>
      <w:r>
        <w:t xml:space="preserve">2. Что проверять при редактировании</w:t>
      </w:r>
    </w:p>
    <w:p>
      <w:pPr>
        <w:pStyle w:val="Compact"/>
        <w:numPr>
          <w:ilvl w:val="0"/>
          <w:numId w:val="1001"/>
        </w:numPr>
      </w:pPr>
      <w:r>
        <w:t xml:space="preserve">В записи каталога заполнено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с нужным значением признака.</w:t>
      </w:r>
    </w:p>
    <w:p>
      <w:pPr>
        <w:pStyle w:val="Compact"/>
        <w:numPr>
          <w:ilvl w:val="0"/>
          <w:numId w:val="1001"/>
        </w:numPr>
      </w:pPr>
      <w:r>
        <w:t xml:space="preserve">Автор выбран из</w:t>
      </w:r>
      <w:r>
        <w:t xml:space="preserve"> </w:t>
      </w:r>
      <w:r>
        <w:rPr>
          <w:rStyle w:val="VerbatimChar"/>
        </w:rPr>
        <w:t xml:space="preserve">ATHRA</w:t>
      </w:r>
      <w:r>
        <w:t xml:space="preserve"> </w:t>
      </w:r>
      <w:r>
        <w:t xml:space="preserve">методом ввода 10 или связан с существующей авторитетной записью.</w:t>
      </w:r>
    </w:p>
    <w:p>
      <w:pPr>
        <w:pStyle w:val="Compact"/>
        <w:numPr>
          <w:ilvl w:val="0"/>
          <w:numId w:val="1001"/>
        </w:numPr>
      </w:pPr>
      <w:r>
        <w:t xml:space="preserve">В авторитетной записи сохранён корректный принятый заголовок</w:t>
      </w:r>
      <w:r>
        <w:t xml:space="preserve"> </w:t>
      </w:r>
      <w:r>
        <w:rPr>
          <w:rStyle w:val="VerbatimChar"/>
        </w:rPr>
        <w:t xml:space="preserve">210</w:t>
      </w:r>
      <w:r>
        <w:t xml:space="preserve">.</w:t>
      </w:r>
    </w:p>
    <w:p>
      <w:pPr>
        <w:pStyle w:val="Compact"/>
        <w:numPr>
          <w:ilvl w:val="0"/>
          <w:numId w:val="1001"/>
        </w:numPr>
      </w:pPr>
      <w:r>
        <w:t xml:space="preserve">Служебное подполе</w:t>
      </w:r>
      <w:r>
        <w:t xml:space="preserve"> </w:t>
      </w:r>
      <w:r>
        <w:rPr>
          <w:rStyle w:val="VerbatimChar"/>
        </w:rPr>
        <w:t xml:space="preserve">210^!</w:t>
      </w:r>
      <w:r>
        <w:t xml:space="preserve"> </w:t>
      </w:r>
      <w:r>
        <w:t xml:space="preserve">не вводится как часть имени автора и не заменяет код признака в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.</w:t>
      </w:r>
    </w:p>
    <w:p>
      <w:pPr>
        <w:pStyle w:val="FirstParagraph"/>
      </w:pPr>
      <w:r>
        <w:t xml:space="preserve">Если знак</w:t>
      </w:r>
      <w:r>
        <w:t xml:space="preserve"> </w:t>
      </w:r>
      <w:r>
        <w:rPr>
          <w:rStyle w:val="VerbatimChar"/>
        </w:rPr>
        <w:t xml:space="preserve">!</w:t>
      </w:r>
      <w:r>
        <w:t xml:space="preserve"> </w:t>
      </w:r>
      <w:r>
        <w:t xml:space="preserve">появился перед автором неожиданно, сначала проверьте поле</w:t>
      </w:r>
      <w:r>
        <w:t xml:space="preserve"> </w:t>
      </w:r>
      <w:r>
        <w:rPr>
          <w:rStyle w:val="VerbatimChar"/>
        </w:rPr>
        <w:t xml:space="preserve">333</w:t>
      </w:r>
      <w:r>
        <w:t xml:space="preserve"> </w:t>
      </w:r>
      <w:r>
        <w:t xml:space="preserve">в записи каталога и служебный признак в авторитетной записи, затем повторите вставку автора из авторитетного файла.</w:t>
      </w:r>
    </w:p>
    <w:bookmarkEnd w:id="10"/>
    <w:bookmarkEnd w:id="11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Признак иностранного агента</dc:title>
  <dc:creator/>
  <cp:keywords/>
  <dcterms:created xsi:type="dcterms:W3CDTF">2026-10-09T18:59:48Z</dcterms:created>
  <dcterms:modified xsi:type="dcterms:W3CDTF">2026-10-09T18:59:48Z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