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3.png" ContentType="image/png"/>
  <Override PartName="/word/media/rId2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Проверка фонда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8" w:name="проверка-фонда"/>
    <w:p>
      <w:pPr>
        <w:pStyle w:val="Heading1"/>
      </w:pPr>
      <w:r>
        <w:t xml:space="preserve">Проверка фонда</w:t>
      </w:r>
    </w:p>
    <w:p>
      <w:pPr>
        <w:pStyle w:val="FirstParagraph"/>
      </w:pPr>
      <w:r>
        <w:t xml:space="preserve">Страница «Проверка фонда» — это основной рабочий инструмент специалиста-технолога для фиксации фактического наличия изданий на полках. В процессе проверки в электронном каталоге для каждого отсканированного экземпляра автоматически проставляется текущая дата проверки, фактическое место хранения, номер полки, а также сохраняется история предыдущих проверок. Для поиска экземпляра можно использовать как штрих-код, так и инвентарный номер.</w:t>
      </w:r>
    </w:p>
    <w:bookmarkStart w:id="17" w:name="режимы-ввода-данных"/>
    <w:p>
      <w:pPr>
        <w:pStyle w:val="Heading2"/>
      </w:pPr>
      <w:r>
        <w:t xml:space="preserve">1. Режимы ввода данных</w:t>
      </w:r>
    </w:p>
    <w:p>
      <w:pPr>
        <w:pStyle w:val="FirstParagraph"/>
      </w:pPr>
      <w:r>
        <w:t xml:space="preserve">В зависимости от настроек модуля, заданных администратором, форма ввода может отображаться в одном из двух вариантов:</w:t>
      </w:r>
    </w:p>
    <w:bookmarkStart w:id="12" w:name="единая-форма-ввода-рекомендуемая"/>
    <w:p>
      <w:pPr>
        <w:pStyle w:val="Heading3"/>
      </w:pPr>
      <w:r>
        <w:t xml:space="preserve">1.1. Единая форма ввода (рекомендуемая)</w:t>
      </w:r>
    </w:p>
    <w:p>
      <w:pPr>
        <w:pStyle w:val="FirstParagraph"/>
      </w:pPr>
      <w:r>
        <w:t xml:space="preserve">В этом режиме доступно одно большое текстовое поле</w:t>
      </w:r>
      <w:r>
        <w:t xml:space="preserve"> </w:t>
      </w:r>
      <w:r>
        <w:rPr>
          <w:b/>
          <w:bCs/>
        </w:rPr>
        <w:t xml:space="preserve">«Введите отсканированные коды полки и книг на ней»</w:t>
      </w:r>
      <w:r>
        <w:t xml:space="preserve">.</w:t>
      </w:r>
    </w:p>
    <w:p>
      <w:pPr>
        <w:pStyle w:val="CaptionedFigure"/>
      </w:pPr>
      <w:r>
        <w:drawing>
          <wp:inline>
            <wp:extent cx="5334000" cy="2216589"/>
            <wp:effectExtent b="0" l="0" r="0" t="0"/>
            <wp:docPr descr="Рисунок 1 - Общий вид страницы Проверка фонда в режиме единой формы ввода" title="Общий вид страницы Проверка фонда в режиме единой формы ввода" id="10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5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21658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Общий вид страницы Проверка фонда в режиме единой формы ввода</w:t>
      </w:r>
    </w:p>
    <w:p>
      <w:pPr>
        <w:pStyle w:val="Compact"/>
        <w:numPr>
          <w:ilvl w:val="0"/>
          <w:numId w:val="1001"/>
        </w:numPr>
      </w:pPr>
      <w:r>
        <w:t xml:space="preserve">Каждая новая полка должна начинаться с новой строки (сканируется штрих-код полки).</w:t>
      </w:r>
    </w:p>
    <w:p>
      <w:pPr>
        <w:pStyle w:val="Compact"/>
        <w:numPr>
          <w:ilvl w:val="0"/>
          <w:numId w:val="1001"/>
        </w:numPr>
      </w:pPr>
      <w:r>
        <w:t xml:space="preserve">Система автоматически определяет место хранения по штрих-коду полки на основании заданных правил.</w:t>
      </w:r>
    </w:p>
    <w:p>
      <w:pPr>
        <w:pStyle w:val="Compact"/>
        <w:numPr>
          <w:ilvl w:val="0"/>
          <w:numId w:val="1001"/>
        </w:numPr>
      </w:pPr>
      <w:r>
        <w:t xml:space="preserve">Штрих-коды или инвентарные номера книг, отсканированные в последующих строках, автоматически привязываются к указанной полке.</w:t>
      </w:r>
    </w:p>
    <w:p>
      <w:pPr>
        <w:pStyle w:val="Compact"/>
        <w:numPr>
          <w:ilvl w:val="0"/>
          <w:numId w:val="1001"/>
        </w:numPr>
      </w:pPr>
      <w:r>
        <w:t xml:space="preserve">При сканировании следующей полки, все идущие за ней книги будут привязываться уже к новой полке.</w:t>
      </w:r>
    </w:p>
    <w:bookmarkEnd w:id="12"/>
    <w:bookmarkStart w:id="16" w:name="классическая-форма-ввода-раздельные-поля"/>
    <w:p>
      <w:pPr>
        <w:pStyle w:val="Heading3"/>
      </w:pPr>
      <w:r>
        <w:t xml:space="preserve">1.2. Классическая форма ввода (раздельные поля)</w:t>
      </w:r>
    </w:p>
    <w:p>
      <w:pPr>
        <w:pStyle w:val="FirstParagraph"/>
      </w:pPr>
      <w:r>
        <w:t xml:space="preserve">В этом режиме необходимо вручную указать параметры физического расположения:</w:t>
      </w:r>
    </w:p>
    <w:p>
      <w:pPr>
        <w:pStyle w:val="CaptionedFigure"/>
      </w:pPr>
      <w:r>
        <w:drawing>
          <wp:inline>
            <wp:extent cx="5334000" cy="1971942"/>
            <wp:effectExtent b="0" l="0" r="0" t="0"/>
            <wp:docPr descr="Рисунок 2 - Общий вид страницы Проверка фонда в режиме классической формы ввода" title="Общий вид страницы Проверка фонда в режиме классической формы ввода" id="14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2800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7194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Общий вид страницы Проверка фонда в режиме классической формы ввода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Фактическое место нахождения книг</w:t>
      </w:r>
      <w:r>
        <w:t xml:space="preserve"> </w:t>
      </w:r>
      <w:r>
        <w:t xml:space="preserve">— выбирается из выпадающего списка (справочника мест хранения</w:t>
      </w:r>
      <w:r>
        <w:t xml:space="preserve"> </w:t>
      </w:r>
      <w:r>
        <w:rPr>
          <w:rStyle w:val="VerbatimChar"/>
        </w:rPr>
        <w:t xml:space="preserve">mhr.mnu</w:t>
      </w:r>
      <w:r>
        <w:t xml:space="preserve">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Номер полки</w:t>
      </w:r>
      <w:r>
        <w:t xml:space="preserve"> </w:t>
      </w:r>
      <w:r>
        <w:t xml:space="preserve">— указывается вручную (необязательное поле).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Список штрих-кодов / инвентарных номеров</w:t>
      </w:r>
      <w:r>
        <w:t xml:space="preserve"> </w:t>
      </w:r>
      <w:r>
        <w:t xml:space="preserve">— в текстовое поле вносятся отсканированные коды изданий (строго по одному в строке).</w:t>
      </w:r>
    </w:p>
    <w:bookmarkEnd w:id="16"/>
    <w:bookmarkEnd w:id="17"/>
    <w:bookmarkStart w:id="19" w:name="X8a01d515f184a72b7812eaa3d94a55547bb02a4"/>
    <w:p>
      <w:pPr>
        <w:pStyle w:val="Heading2"/>
      </w:pPr>
      <w:r>
        <w:t xml:space="preserve">2. Поиск по штрих-коду и инвентарному номеру</w:t>
      </w:r>
    </w:p>
    <w:p>
      <w:pPr>
        <w:pStyle w:val="FirstParagraph"/>
      </w:pPr>
      <w:r>
        <w:t xml:space="preserve">В список проверки можно вводить штрих-коды и инвентарные номера вперемешку. Каждое значение обрабатывается как отдельный идентификатор экземпляра: система ищет запись по штрих-коду и по инвентарному номеру, затем находит соответствующее повторение поля экземпляра и обновляет данные проверки именно у него.</w:t>
      </w:r>
    </w:p>
    <w:p>
      <w:pPr>
        <w:pStyle w:val="BodyText"/>
      </w:pPr>
      <w:r>
        <w:t xml:space="preserve">Если инвентарный номер совпадает со штрих-кодом другого экземпляра или с кодом полки в единой форме ввода, результат может быть неоднозначным. Для стабильной проверки инвентарные номера, штрих-коды книг и штрих-коды полок должны быть уникальными в пределах проверяемых баз.</w:t>
      </w:r>
    </w:p>
    <w:bookmarkStart w:id="18" w:name="загрузка-штрих-кодов-из-файла"/>
    <w:p>
      <w:pPr>
        <w:pStyle w:val="Heading3"/>
      </w:pPr>
      <w:r>
        <w:t xml:space="preserve">2.1. Загрузка штрих-кодов из файла</w:t>
      </w:r>
    </w:p>
    <w:p>
      <w:pPr>
        <w:pStyle w:val="FirstParagraph"/>
      </w:pPr>
      <w:r>
        <w:t xml:space="preserve">Вместо ручного сканирования напрямую в текстовое поле, вы можете использовать сканер со встроенной памятью или терминал сбора данных (ТСД). Полученный текстовый файл (</w:t>
      </w:r>
      <w:r>
        <w:rPr>
          <w:rStyle w:val="VerbatimChar"/>
        </w:rPr>
        <w:t xml:space="preserve">.txt</w:t>
      </w:r>
      <w:r>
        <w:t xml:space="preserve">) можно загрузить с помощью поля</w:t>
      </w:r>
      <w:r>
        <w:t xml:space="preserve"> </w:t>
      </w:r>
      <w:r>
        <w:rPr>
          <w:b/>
          <w:bCs/>
        </w:rPr>
        <w:t xml:space="preserve">«Или загрузите текстовый файл (.txt) со штрих-кодами»</w:t>
      </w:r>
      <w:r>
        <w:t xml:space="preserve">. Формат файла должен соответствовать правилам выбранного режима работы.</w:t>
      </w:r>
    </w:p>
    <w:bookmarkEnd w:id="18"/>
    <w:bookmarkEnd w:id="19"/>
    <w:bookmarkStart w:id="20" w:name="звуковые-оповещения-об-ошибках"/>
    <w:p>
      <w:pPr>
        <w:pStyle w:val="Heading2"/>
      </w:pPr>
      <w:r>
        <w:t xml:space="preserve">3. Звуковые оповещения об ошибках</w:t>
      </w:r>
    </w:p>
    <w:p>
      <w:pPr>
        <w:pStyle w:val="FirstParagraph"/>
      </w:pPr>
      <w:r>
        <w:t xml:space="preserve">Рядом с кнопкой «Отправить» находится кнопка с иконкой колокольчика. Она позволяет включить или отключить звуковое оповещение при ошибках прямо в вашем браузере.</w:t>
      </w:r>
    </w:p>
    <w:p>
      <w:pPr>
        <w:pStyle w:val="Compact"/>
        <w:numPr>
          <w:ilvl w:val="0"/>
          <w:numId w:val="1003"/>
        </w:numPr>
      </w:pPr>
      <w:r>
        <w:t xml:space="preserve">Если звук включен, при обнаружении неверного штрих-кода (книга не найдена) после отправки формы прозвучит характерный предупреждающий сигнал.</w:t>
      </w:r>
    </w:p>
    <w:p>
      <w:pPr>
        <w:pStyle w:val="Compact"/>
        <w:numPr>
          <w:ilvl w:val="0"/>
          <w:numId w:val="1003"/>
        </w:numPr>
      </w:pPr>
      <w:r>
        <w:t xml:space="preserve">Выбранное состояние (включено/выключено) сохраняется в памяти вашего браузера для следующих проверок.</w:t>
      </w:r>
    </w:p>
    <w:bookmarkEnd w:id="20"/>
    <w:bookmarkStart w:id="24" w:name="обработка-и-результаты"/>
    <w:p>
      <w:pPr>
        <w:pStyle w:val="Heading2"/>
      </w:pPr>
      <w:r>
        <w:t xml:space="preserve">4. Обработка и результаты</w:t>
      </w:r>
    </w:p>
    <w:p>
      <w:pPr>
        <w:pStyle w:val="FirstParagraph"/>
      </w:pPr>
      <w:r>
        <w:t xml:space="preserve">После нажатия кнопки</w:t>
      </w:r>
      <w:r>
        <w:t xml:space="preserve"> </w:t>
      </w:r>
      <w:r>
        <w:rPr>
          <w:b/>
          <w:bCs/>
        </w:rPr>
        <w:t xml:space="preserve">«Отправить»</w:t>
      </w:r>
      <w:r>
        <w:t xml:space="preserve"> </w:t>
      </w:r>
      <w:r>
        <w:t xml:space="preserve">система начинает поштучную проверку введенных штрих-кодов и инвентарных номеров в электронном каталоге. Процесс для большого массива может занять некоторое время. Результаты выводятся в таблицу на этой же странице: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Успешная обработка (Статус: OK)</w:t>
      </w:r>
      <w:r>
        <w:t xml:space="preserve">: Книга найдена, в БЗ (поле 910) обновлена дата проверки, проставлен ответственный пользователь, место хранения и номер полки. В таблице отображаются штрих-код, инвентарный номер, детальное библиографическое описание и цена издания.</w:t>
      </w:r>
    </w:p>
    <w:p>
      <w:pPr>
        <w:pStyle w:val="Compact"/>
        <w:numPr>
          <w:ilvl w:val="0"/>
          <w:numId w:val="1004"/>
        </w:numPr>
      </w:pPr>
      <w:r>
        <w:rPr>
          <w:b/>
          <w:bCs/>
        </w:rPr>
        <w:t xml:space="preserve">Ошибки</w:t>
      </w:r>
      <w:r>
        <w:t xml:space="preserve">: Если введенный идентификатор не найден в базе, строка таблицы выделяется и выводится статус</w:t>
      </w:r>
      <w:r>
        <w:t xml:space="preserve"> </w:t>
      </w:r>
      <w:r>
        <w:rPr>
          <w:b/>
          <w:bCs/>
        </w:rPr>
        <w:t xml:space="preserve">«НЕ НАЙДЕНО В ЭКЗЕМПЛЯРАХ»</w:t>
      </w:r>
      <w:r>
        <w:t xml:space="preserve"> </w:t>
      </w:r>
      <w:r>
        <w:t xml:space="preserve">или</w:t>
      </w:r>
      <w:r>
        <w:t xml:space="preserve"> </w:t>
      </w:r>
      <w:r>
        <w:rPr>
          <w:b/>
          <w:bCs/>
        </w:rPr>
        <w:t xml:space="preserve">«ЗАПИСЬ НЕ НАЙДЕНА»</w:t>
      </w:r>
      <w:r>
        <w:t xml:space="preserve">.</w:t>
      </w:r>
    </w:p>
    <w:p>
      <w:pPr>
        <w:pStyle w:val="FirstParagraph"/>
      </w:pPr>
      <w:r>
        <w:t xml:space="preserve">В таблице результатов для каждой найденной записи выводятся база, штрих-код, инвентарный номер, описание, место хранения, полка, цена и статус обработки. Для номеров журналов дополнительно заполняются колонки: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Колонка</w:t>
            </w:r>
          </w:p>
        </w:tc>
        <w:tc>
          <w:tcPr/>
          <w:p>
            <w:pPr>
              <w:pStyle w:val="Compact"/>
            </w:pPr>
            <w:r>
              <w:t xml:space="preserve">Что отображается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Город</w:t>
            </w:r>
          </w:p>
        </w:tc>
        <w:tc>
          <w:tcPr/>
          <w:p>
            <w:pPr>
              <w:pStyle w:val="Compact"/>
            </w:pPr>
            <w:r>
              <w:t xml:space="preserve">город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Первые сведения об ответственности</w:t>
            </w:r>
          </w:p>
        </w:tc>
        <w:tc>
          <w:tcPr/>
          <w:p>
            <w:pPr>
              <w:pStyle w:val="Compact"/>
            </w:pPr>
            <w:r>
              <w:t xml:space="preserve">первые сведения об ответственности из сводного описания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Год</w:t>
            </w:r>
          </w:p>
        </w:tc>
        <w:tc>
          <w:tcPr/>
          <w:p>
            <w:pPr>
              <w:pStyle w:val="Compact"/>
            </w:pPr>
            <w:r>
              <w:t xml:space="preserve">год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Том</w:t>
            </w:r>
          </w:p>
        </w:tc>
        <w:tc>
          <w:tcPr/>
          <w:p>
            <w:pPr>
              <w:pStyle w:val="Compact"/>
            </w:pPr>
            <w:r>
              <w:t xml:space="preserve">том номера журнала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</w:t>
            </w:r>
          </w:p>
        </w:tc>
        <w:tc>
          <w:tcPr/>
          <w:p>
            <w:pPr>
              <w:pStyle w:val="Compact"/>
            </w:pPr>
            <w:r>
              <w:t xml:space="preserve">номер выпуска</w:t>
            </w:r>
          </w:p>
        </w:tc>
      </w:tr>
    </w:tbl>
    <w:p>
      <w:pPr>
        <w:pStyle w:val="BodyText"/>
      </w:pPr>
      <w:r>
        <w:t xml:space="preserve">Эти колонки заполняются только для записей номеров журналов. Для книг и других типов записей соответствующие ячейки остаются пустыми. При просмотре сохраненного сеанса в архиве проверок отображается та же таблица результатов.</w:t>
      </w:r>
    </w:p>
    <w:p>
      <w:pPr>
        <w:pStyle w:val="CaptionedFigure"/>
      </w:pPr>
      <w:r>
        <w:drawing>
          <wp:inline>
            <wp:extent cx="5334000" cy="1275363"/>
            <wp:effectExtent b="0" l="0" r="0" t="0"/>
            <wp:docPr descr="Рисунок 3 - Результаты проверки фонда" title="Результаты проверки фонда" id="22" name="Picture"/>
            <a:graphic>
              <a:graphicData uri="http://schemas.openxmlformats.org/drawingml/2006/picture">
                <pic:pic>
                  <pic:nvPicPr>
                    <pic:cNvPr descr="modules/Complectator/Help/UserGuide/images/img_20260423093048.png" id="23" name="Picture"/>
                    <pic:cNvPicPr>
                      <a:picLocks noChangeArrowheads="1" noChangeAspect="1"/>
                    </pic:cNvPicPr>
                  </pic:nvPicPr>
                  <pic:blipFill>
                    <a:blip r:embed="rId2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27536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Результаты проверки фонда</w:t>
      </w:r>
    </w:p>
    <w:p>
      <w:pPr>
        <w:pStyle w:val="BodyText"/>
      </w:pPr>
      <w:r>
        <w:t xml:space="preserve">Для удобства, над основной таблицей результатов появляется красный блок, в котором отдельно выписаны все штрих-коды и инвентарные номера, не найденные в каталоге или обработанные с ошибкой. Это позволяет быстро отложить проблемные физические книги для дальнейших разбирательств.</w:t>
      </w:r>
    </w:p>
    <w:bookmarkEnd w:id="24"/>
    <w:bookmarkStart w:id="27" w:name="связанные-разделы"/>
    <w:p>
      <w:pPr>
        <w:pStyle w:val="Heading2"/>
      </w:pPr>
      <w:r>
        <w:t xml:space="preserve">5. Связанные разделы</w:t>
      </w:r>
    </w:p>
    <w:p>
      <w:pPr>
        <w:pStyle w:val="FirstParagraph"/>
      </w:pPr>
      <w:r>
        <w:t xml:space="preserve">Все операции проверки фонда автоматически протоколируются.</w:t>
      </w:r>
    </w:p>
    <w:p>
      <w:pPr>
        <w:pStyle w:val="Compact"/>
        <w:numPr>
          <w:ilvl w:val="0"/>
          <w:numId w:val="1005"/>
        </w:numPr>
      </w:pPr>
      <w:r>
        <w:t xml:space="preserve">Возможность посмотреть историю всех сеансов проверок (разд.</w:t>
      </w:r>
      <w:r>
        <w:t xml:space="preserve"> </w:t>
      </w:r>
      <w:r>
        <w:t xml:space="preserve">“</w:t>
      </w:r>
      <w:hyperlink r:id="rId25">
        <w:r>
          <w:rPr>
            <w:rStyle w:val="Hyperlink"/>
          </w:rPr>
          <w:t xml:space="preserve">Архив проверок фонда</w:t>
        </w:r>
      </w:hyperlink>
      <w:r>
        <w:t xml:space="preserve">”</w:t>
      </w:r>
      <w:r>
        <w:t xml:space="preserve">).</w:t>
      </w:r>
    </w:p>
    <w:p>
      <w:pPr>
        <w:pStyle w:val="Compact"/>
        <w:numPr>
          <w:ilvl w:val="0"/>
          <w:numId w:val="1005"/>
        </w:numPr>
      </w:pPr>
      <w:r>
        <w:t xml:space="preserve">Возможность сформировать аналитический отчет по недостачам и расхождениям статусов (разд.</w:t>
      </w:r>
      <w:r>
        <w:t xml:space="preserve"> </w:t>
      </w:r>
      <w:r>
        <w:t xml:space="preserve">“</w:t>
      </w:r>
      <w:hyperlink r:id="rId26">
        <w:r>
          <w:rPr>
            <w:rStyle w:val="Hyperlink"/>
          </w:rPr>
          <w:t xml:space="preserve">Отчет о проверке фонда</w:t>
        </w:r>
      </w:hyperlink>
      <w:r>
        <w:t xml:space="preserve">”</w:t>
      </w:r>
      <w:r>
        <w:t xml:space="preserve">).</w:t>
      </w:r>
    </w:p>
    <w:bookmarkEnd w:id="27"/>
    <w:bookmarkEnd w:id="2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3" Target="media/rId13.png" /><Relationship Type="http://schemas.openxmlformats.org/officeDocument/2006/relationships/image" Id="rId21" Target="media/rId21.png" /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5" Target="?id=Help/Show&amp;m=Complectator/Help/UserGuide/ProvFondArchive" TargetMode="External" /><Relationship Type="http://schemas.openxmlformats.org/officeDocument/2006/relationships/hyperlink" Id="rId26" Target="?id=Help/Show&amp;m=Complectator/Help/UserGuide/ProvFondReport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Проверка фонда</dc:title>
  <dc:creator/>
  <cp:keywords/>
  <dcterms:created xsi:type="dcterms:W3CDTF">2026-10-09T04:53:56Z</dcterms:created>
  <dcterms:modified xsi:type="dcterms:W3CDTF">2026-10-09T04:53:56Z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