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 FieldConfiguration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b4629802350124cd2ef741373e8fd06c799d1fd"/>
    <w:p>
      <w:pPr>
        <w:pStyle w:val="Heading1"/>
      </w:pPr>
      <w:r>
        <w:t xml:space="preserve">Руководство администратора FieldConfiguration</w:t>
      </w:r>
    </w:p>
    <w:bookmarkStart w:id="9" w:name="запись-поля"/>
    <w:p>
      <w:pPr>
        <w:pStyle w:val="Heading2"/>
      </w:pPr>
      <w:r>
        <w:t xml:space="preserve">1. Запись поля</w:t>
      </w:r>
    </w:p>
    <w:p>
      <w:pPr>
        <w:pStyle w:val="FirstParagraph"/>
      </w:pPr>
      <w:r>
        <w:t xml:space="preserve">Для нового поля заполните секцию</w:t>
      </w:r>
      <w:r>
        <w:t xml:space="preserve"> </w:t>
      </w:r>
      <w:r>
        <w:rPr>
          <w:rStyle w:val="VerbatimChar"/>
        </w:rPr>
        <w:t xml:space="preserve">Реестр поля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Ключ поля</w:t>
      </w:r>
      <w:r>
        <w:t xml:space="preserve"> </w:t>
      </w:r>
      <w:r>
        <w:t xml:space="preserve">- стабильное имя, например</w:t>
      </w:r>
      <w:r>
        <w:t xml:space="preserve"> </w:t>
      </w:r>
      <w:r>
        <w:rPr>
          <w:rStyle w:val="VerbatimChar"/>
        </w:rPr>
        <w:t xml:space="preserve">task.assignee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Модуль-владелец</w:t>
      </w:r>
      <w:r>
        <w:t xml:space="preserve"> </w:t>
      </w:r>
      <w:r>
        <w:t xml:space="preserve">- модуль, которому принадлежит смысл поля.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Тип записи</w:t>
      </w:r>
      <w:r>
        <w:t xml:space="preserve"> </w:t>
      </w:r>
      <w:r>
        <w:t xml:space="preserve">- тип записи, для которой действует поле.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Область действия</w:t>
      </w:r>
      <w:r>
        <w:t xml:space="preserve"> </w:t>
      </w:r>
      <w:r>
        <w:t xml:space="preserve">- системная, модульная, проектная или runtime.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Тип данных</w:t>
      </w:r>
      <w:r>
        <w:t xml:space="preserve"> </w:t>
      </w:r>
      <w:r>
        <w:t xml:space="preserve">- логический тип значения.</w:t>
      </w:r>
    </w:p>
    <w:p>
      <w:pPr>
        <w:pStyle w:val="FirstParagraph"/>
      </w:pPr>
      <w:r>
        <w:t xml:space="preserve">Физический номер поля указывается в секции</w:t>
      </w:r>
      <w:r>
        <w:t xml:space="preserve"> </w:t>
      </w:r>
      <w:r>
        <w:rPr>
          <w:rStyle w:val="VerbatimChar"/>
        </w:rPr>
        <w:t xml:space="preserve">Физическая привязка хранения</w:t>
      </w:r>
      <w:r>
        <w:t xml:space="preserve">. Этот номер не должен использоваться напрямую в новых screens/views/filters/API, если есть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.</w:t>
      </w:r>
    </w:p>
    <w:bookmarkEnd w:id="9"/>
    <w:bookmarkStart w:id="10" w:name="профили"/>
    <w:p>
      <w:pPr>
        <w:pStyle w:val="Heading2"/>
      </w:pPr>
      <w:r>
        <w:t xml:space="preserve">2. Профили</w:t>
      </w:r>
    </w:p>
    <w:p>
      <w:pPr>
        <w:pStyle w:val="FirstParagraph"/>
      </w:pPr>
      <w:r>
        <w:rPr>
          <w:rStyle w:val="VerbatimChar"/>
        </w:rPr>
        <w:t xml:space="preserve">Профиль ввода</w:t>
      </w:r>
      <w:r>
        <w:t xml:space="preserve"> </w:t>
      </w:r>
      <w:r>
        <w:t xml:space="preserve">описывает, как поле можно вводить: редактор, обязательность, справочник, повторяемость и публичный ввод.</w:t>
      </w:r>
    </w:p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Отображение, поиск, API и права</w:t>
      </w:r>
      <w:r>
        <w:t xml:space="preserve"> </w:t>
      </w:r>
      <w:r>
        <w:t xml:space="preserve">задает подписи для интерфейса, форматы, search prefix, API-имена и ссылки на права. Сами права проверяет модуль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bookmarkEnd w:id="10"/>
    <w:bookmarkStart w:id="11" w:name="наборы-полей"/>
    <w:p>
      <w:pPr>
        <w:pStyle w:val="Heading2"/>
      </w:pPr>
      <w:r>
        <w:t xml:space="preserve">3. Наборы полей</w:t>
      </w:r>
    </w:p>
    <w:p>
      <w:pPr>
        <w:pStyle w:val="FirstParagraph"/>
      </w:pPr>
      <w:r>
        <w:t xml:space="preserve">Если заполнен</w:t>
      </w:r>
      <w:r>
        <w:t xml:space="preserve"> </w:t>
      </w:r>
      <w:r>
        <w:rPr>
          <w:rStyle w:val="VerbatimChar"/>
        </w:rPr>
        <w:t xml:space="preserve">Ключ набора</w:t>
      </w:r>
      <w:r>
        <w:t xml:space="preserve">, запись считается</w:t>
      </w:r>
      <w:r>
        <w:t xml:space="preserve"> </w:t>
      </w:r>
      <w:r>
        <w:rPr>
          <w:rStyle w:val="VerbatimChar"/>
        </w:rPr>
        <w:t xml:space="preserve">FieldPack</w:t>
      </w:r>
      <w:r>
        <w:t xml:space="preserve">. В секции</w:t>
      </w:r>
      <w:r>
        <w:t xml:space="preserve"> </w:t>
      </w:r>
      <w:r>
        <w:rPr>
          <w:rStyle w:val="VerbatimChar"/>
        </w:rPr>
        <w:t xml:space="preserve">Поля набора</w:t>
      </w:r>
      <w:r>
        <w:t xml:space="preserve"> </w:t>
      </w:r>
      <w:r>
        <w:t xml:space="preserve">перечислите field keys, порядок и обязательность. Набор удобно использовать как базовый контракт для типа записи или проекта.</w:t>
      </w:r>
    </w:p>
    <w:bookmarkEnd w:id="11"/>
    <w:bookmarkStart w:id="12" w:name="where-used"/>
    <w:p>
      <w:pPr>
        <w:pStyle w:val="Heading2"/>
      </w:pPr>
      <w:r>
        <w:t xml:space="preserve">4. Where-used</w:t>
      </w:r>
    </w:p>
    <w:p>
      <w:pPr>
        <w:pStyle w:val="FirstParagraph"/>
      </w:pPr>
      <w:r>
        <w:t xml:space="preserve">В таблице</w:t>
      </w:r>
      <w:r>
        <w:t xml:space="preserve"> </w:t>
      </w:r>
      <w:r>
        <w:rPr>
          <w:rStyle w:val="VerbatimChar"/>
        </w:rPr>
        <w:t xml:space="preserve">Где используется</w:t>
      </w:r>
      <w:r>
        <w:t xml:space="preserve"> </w:t>
      </w:r>
      <w:r>
        <w:t xml:space="preserve">фиксируются явные потребители поля. Это помогает понять последствия изменения field key, search profile или физической привязки.</w:t>
      </w:r>
    </w:p>
    <w:bookmarkEnd w:id="12"/>
    <w:bookmarkStart w:id="13" w:name="системные-записи"/>
    <w:p>
      <w:pPr>
        <w:pStyle w:val="Heading2"/>
      </w:pPr>
      <w:r>
        <w:t xml:space="preserve">5. Системные записи</w:t>
      </w:r>
    </w:p>
    <w:p>
      <w:pPr>
        <w:pStyle w:val="FirstParagraph"/>
      </w:pPr>
      <w:r>
        <w:t xml:space="preserve">Системные описания поставляются через JSON в модуле и помечаются как системные. Их изменение должно выполняться в рамках разработки соответствующего системного пакета, а не как локальная настройка стенда.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 FieldConfiguration</dc:title>
  <dc:creator/>
  <cp:keywords/>
  <dcterms:created xsi:type="dcterms:W3CDTF">2026-10-09T05:13:29Z</dcterms:created>
  <dcterms:modified xsi:type="dcterms:W3CDTF">2026-10-09T05:13:29Z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