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ca957b12d0fff2a59c7c82a7a6b8df1f9566d6"/>
    <w:p>
      <w:pPr>
        <w:pStyle w:val="Heading1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Database - Управление базами данных,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DP_Irbis64r - Провайдер данных к удаленному TCP/IP серверу ИРБИС 64/64+, ИРБИС 128. Модуль he2 - Формы ввода данных, ИРБИС 128. Модуль i128f - Управление основной конфигурацией системы, ИРБИС 128. Модуль Ini - Ini-файлы, ИРБИС 128. Модуль ProfileManager - Подсистема управления профилями настроек модулей, ИРБИС 128. Модуль Server64 - Сервер ИРБИС 64, ИРБИС 128. Модуль WIrbis - Системный модуль,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23.02.2026 15:09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2"/>
    <w:p>
      <w:pPr>
        <w:pStyle w:val="Heading3"/>
      </w:pPr>
      <w:r>
        <w:t xml:space="preserve">1.1. 🔗 Соответствует задача: I128-2202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[I128-2202]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[I128-2199] Смена обращения к модулю Ini с UseModule(‘Ini’) на Ini::getInstance и проверка корректности вызова всех функций модуля</dc:title>
  <dc:creator/>
  <cp:keywords/>
  <dcterms:created xsi:type="dcterms:W3CDTF">2026-10-08T21:14:46Z</dcterms:created>
  <dcterms:modified xsi:type="dcterms:W3CDTF">2026-10-08T21:14:46Z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