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[I128-1618] Возможность прозрачной авторизации в ИРБИС 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380d5e4c7874e0cf618d76cbdfd9f2412ce6d08"/>
    <w:p>
      <w:pPr>
        <w:pStyle w:val="Heading1"/>
      </w:pPr>
      <w:r>
        <w:t xml:space="preserve">[I128-1618] Возможность прозрачной авторизации в ИРБИС 128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Authorisation - Авторизация пользователей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18.04.2025 14:44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627"/>
    <w:p>
      <w:pPr>
        <w:pStyle w:val="Heading3"/>
      </w:pPr>
      <w:r>
        <w:t xml:space="preserve">1.1. 🔗 Соответствует задача: I128-1627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[I128-1627]</w:t>
        </w:r>
      </w:hyperlink>
      <w:r>
        <w:t xml:space="preserve"> </w:t>
      </w:r>
      <w:r>
        <w:t xml:space="preserve">Возможность прозрачной авторизации в ИРБИС 128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62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62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[I128-1618] Возможность прозрачной авторизации в ИРБИС 128</dc:title>
  <dc:creator/>
  <cp:keywords/>
  <dcterms:created xsi:type="dcterms:W3CDTF">2026-10-09T11:43:40Z</dcterms:created>
  <dcterms:modified xsi:type="dcterms:W3CDTF">2026-10-09T11:43:40Z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