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[I128-2173] Поддержка ИРБИС-ссылок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173-поддержка-ирбис-ссылок"/>
    <w:p>
      <w:pPr>
        <w:pStyle w:val="Heading1"/>
      </w:pPr>
      <w:r>
        <w:t xml:space="preserve">[I128-2173] Поддержка ИРБИС-ссылок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Help - Помощь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02:08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из АРМ Каталогизаторе они вели также в АРМ Каталогизатор, а из арм читатель в арм читатель. из книговыдачи в книговыдачу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508"/>
    <w:p>
      <w:pPr>
        <w:pStyle w:val="Heading3"/>
      </w:pPr>
      <w:r>
        <w:t xml:space="preserve">1.1. 🔗 Соответствует задача: I128-1508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[I128-1508]</w:t>
        </w:r>
      </w:hyperlink>
      <w:r>
        <w:t xml:space="preserve"> </w:t>
      </w:r>
      <w:r>
        <w:t xml:space="preserve">Поддержка ИРБИС-ссылок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50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50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[I128-2173] Поддержка ИРБИС-ссылок</dc:title>
  <dc:creator/>
  <cp:keywords/>
  <dcterms:created xsi:type="dcterms:W3CDTF">2026-10-08T07:33:07Z</dcterms:created>
  <dcterms:modified xsi:type="dcterms:W3CDTF">2026-10-08T07:33:07Z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