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[I128-2156] Доступность модуля i128f через i128f::getInstance()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f8a6c70f6d3ca7fd4145c8d0dcfcdb558904650"/>
    <w:p>
      <w:pPr>
        <w:pStyle w:val="Heading1"/>
      </w:pPr>
      <w:r>
        <w:t xml:space="preserve">[I128-2156] Доступность модуля i128f через i128f::getInstance()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6"/>
    <w:p>
      <w:pPr>
        <w:pStyle w:val="Heading3"/>
      </w:pPr>
      <w:r>
        <w:t xml:space="preserve">1.1. 🔗 Соответствует задача: I128-2176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6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6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[I128-2156] Доступность модуля i128f через i128f::getInstance()</dc:title>
  <dc:creator/>
  <cp:keywords/>
  <dcterms:created xsi:type="dcterms:W3CDTF">2026-10-08T07:32:38Z</dcterms:created>
  <dcterms:modified xsi:type="dcterms:W3CDTF">2026-10-08T07:32:38Z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