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[I128-1883] Смена типа RFID - оборудования в интерфейсе АРМ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cf1fe5f3f77f56b5e66f186c7505f0e5b94c2"/>
    <w:p>
      <w:pPr>
        <w:pStyle w:val="Heading1"/>
      </w:pPr>
      <w:r>
        <w:t xml:space="preserve">[I128-1883] Смена типа RFID - оборудования в интерфейсе АРМ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2"/>
    <w:p>
      <w:pPr>
        <w:pStyle w:val="Heading3"/>
      </w:pPr>
      <w:r>
        <w:t xml:space="preserve">1.1. 🔗 Соответствует задача: I128-2062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[I128-2062]</w:t>
        </w:r>
      </w:hyperlink>
      <w:r>
        <w:t xml:space="preserve"> </w:t>
      </w:r>
      <w:r>
        <w:t xml:space="preserve">Смена типа RFID - оборудования в интерфейсе АРМ Книговыдачи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[I128-1883] Смена типа RFID - оборудования в интерфейсе АРМ Книговыдачи</dc:title>
  <dc:creator/>
  <cp:keywords/>
  <dcterms:created xsi:type="dcterms:W3CDTF">2026-10-09T09:12:01Z</dcterms:created>
  <dcterms:modified xsi:type="dcterms:W3CDTF">2026-10-09T09:12:01Z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