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Каталожные разделители ИМИДЖ-каталогов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таложные-разделители-имидж-каталогов"/>
    <w:p>
      <w:pPr>
        <w:pStyle w:val="Heading1"/>
      </w:pPr>
      <w:r>
        <w:t xml:space="preserve">Каталожные разделители ИМИДЖ-каталогов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строит и хранит навигационные разделители для ИМИДЖ-каталогов.</w:t>
      </w:r>
    </w:p>
    <w:bookmarkStart w:id="11" w:name="назначение-модуля-imagenav"/>
    <w:p>
      <w:pPr>
        <w:pStyle w:val="Heading2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Каталожные разделители ИМИДЖ-каталогов</dc:title>
  <dc:creator/>
  <cp:keywords/>
  <dcterms:created xsi:type="dcterms:W3CDTF">2026-10-08T19:36:54Z</dcterms:created>
  <dcterms:modified xsi:type="dcterms:W3CDTF">2026-10-08T19:36:54Z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