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Провайдеры и подключение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вайдеры-и-подключение"/>
    <w:p>
      <w:pPr>
        <w:pStyle w:val="Heading1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10" w:name="варианты-подключения"/>
    <w:p>
      <w:pPr>
        <w:pStyle w:val="Heading2"/>
      </w:pPr>
      <w:r>
        <w:t xml:space="preserve">1. Варианты подключения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10"/>
    <w:bookmarkStart w:id="11" w:name="открытие-баз"/>
    <w:p>
      <w:pPr>
        <w:pStyle w:val="Heading2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11"/>
    <w:bookmarkStart w:id="12" w:name="доступ-к-провайдеру-и-кэшу-открытых-баз"/>
    <w:p>
      <w:pPr>
        <w:pStyle w:val="Heading2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12"/>
    <w:bookmarkStart w:id="13" w:name="ошибки"/>
    <w:p>
      <w:pPr>
        <w:pStyle w:val="Heading2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Irbis64Nativ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Irbis64Nativ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Провайдеры и подключение</dc:title>
  <dc:creator/>
  <cp:keywords/>
  <dcterms:created xsi:type="dcterms:W3CDTF">2026-10-08T13:17:06Z</dcterms:created>
  <dcterms:modified xsi:type="dcterms:W3CDTF">2026-10-08T13:17:06Z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