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ac27e86fcf369535c823ee0af8545b70e4b1d"/>
    <w:p>
      <w:pPr>
        <w:pStyle w:val="Heading1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раздел панели мониторинга очереди задач.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документацию панели мониторинга очереди задач добавлен отдельный подраздел о правах доступа. Раздел объясняет, что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проверяет право просмотра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до загрузки панели, а при отсутствии права панель не открывается.</w:t>
      </w:r>
    </w:p>
    <w:p>
      <w:pPr>
        <w:pStyle w:val="BodyText"/>
      </w:pPr>
      <w:r>
        <w:t xml:space="preserve">Также указано, что проверить или назначить это право можно 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 Скриншоты панели мониторинга уже присутствуют в измененном Help-разделе.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7"/>
    <w:p>
      <w:pPr>
        <w:pStyle w:val="Heading3"/>
      </w:pPr>
      <w:r>
        <w:t xml:space="preserve">1.1. 🔗 Соответствует задача: I128-1497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[I128-1497]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[I128-2149] Права доступа к странице “Состояние очереди задач” (Queue/InfoQueue)</dc:title>
  <dc:creator/>
  <cp:keywords/>
  <dcterms:created xsi:type="dcterms:W3CDTF">2026-10-09T11:54:59Z</dcterms:created>
  <dcterms:modified xsi:type="dcterms:W3CDTF">2026-10-09T11:54:59Z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