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обращения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жизненный-цикл-обращения"/>
    <w:p>
      <w:pPr>
        <w:pStyle w:val="Heading1"/>
      </w:pPr>
      <w:r>
        <w:t xml:space="preserve">Жизненный цикл обращения</w:t>
      </w:r>
    </w:p>
    <w:bookmarkStart w:id="9" w:name="создание"/>
    <w:p>
      <w:pPr>
        <w:pStyle w:val="Heading2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9"/>
    <w:bookmarkStart w:id="10" w:name="обработка"/>
    <w:p>
      <w:pPr>
        <w:pStyle w:val="Heading2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0"/>
    <w:bookmarkStart w:id="11" w:name="переписка"/>
    <w:p>
      <w:pPr>
        <w:pStyle w:val="Heading2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1"/>
    <w:bookmarkStart w:id="12" w:name="завершение-и-оценка"/>
    <w:p>
      <w:pPr>
        <w:pStyle w:val="Heading2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обращения</dc:title>
  <dc:creator/>
  <cp:keywords/>
  <dcterms:created xsi:type="dcterms:W3CDTF">2026-10-07T19:12:40Z</dcterms:created>
  <dcterms:modified xsi:type="dcterms:W3CDTF">2026-10-07T19:12:40Z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