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ab13ad2bff7044c49860d03f4f731db587e853"/>
    <w:p>
      <w:pPr>
        <w:pStyle w:val="Heading1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думаю необходимо также добавить возможность рабы с этим параметром для арма книговыдача и арма комплектатор. в модулях корректировки , как минимум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66"/>
    <w:p>
      <w:pPr>
        <w:pStyle w:val="Heading3"/>
      </w:pPr>
      <w:r>
        <w:t xml:space="preserve">1.1. 🔗 Соответствует задача: I128-1866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[I128-1866]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61"/>
    <w:p>
      <w:pPr>
        <w:pStyle w:val="Heading3"/>
      </w:pPr>
      <w:r>
        <w:t xml:space="preserve">1.2. 🔗 Соответствует задача: I128-2061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[I128-2061]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[I128-1847] Добавить параметр в клиентский ини файл отвечающий за масштаб страницы в формате просмотра для html содержимого</dc:title>
  <dc:creator/>
  <cp:keywords/>
  <dcterms:created xsi:type="dcterms:W3CDTF">2026-10-08T16:21:33Z</dcterms:created>
  <dcterms:modified xsi:type="dcterms:W3CDTF">2026-10-08T16:21:33Z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