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Руководство администратора Collaboration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руководство-администратора-collaboration"/>
    <w:p>
      <w:pPr>
        <w:pStyle w:val="Heading1"/>
      </w:pPr>
      <w:r>
        <w:t xml:space="preserve">Руководство администратора Collaboration</w:t>
      </w:r>
    </w:p>
    <w:p>
      <w:pPr>
        <w:pStyle w:val="FirstParagraph"/>
      </w:pPr>
      <w:r>
        <w:t xml:space="preserve">В настройках модуля задаются значения по умолчанию: пространство, тип потока, тип сообщения, видимость и имя модуля событийной шины. Эти значения используются только когда вызывающий модуль не передал их явно.</w:t>
      </w:r>
    </w:p>
    <w:p>
      <w:pPr>
        <w:pStyle w:val="BodyText"/>
      </w:pPr>
      <w:r>
        <w:t xml:space="preserve">Администратор должен настроить права на просмотр и изменение коммуникаций через стандартный Security. Отдельные политики видимости и публичные сценарии должны опираться на уровни</w:t>
      </w:r>
      <w:r>
        <w:t xml:space="preserve"> </w:t>
      </w:r>
      <w:r>
        <w:rPr>
          <w:rStyle w:val="VerbatimChar"/>
        </w:rPr>
        <w:t xml:space="preserve">public</w:t>
      </w:r>
      <w:r>
        <w:t xml:space="preserve">,</w:t>
      </w:r>
      <w:r>
        <w:t xml:space="preserve"> </w:t>
      </w:r>
      <w:r>
        <w:rPr>
          <w:rStyle w:val="VerbatimChar"/>
        </w:rPr>
        <w:t xml:space="preserve">internal</w:t>
      </w:r>
      <w:r>
        <w:t xml:space="preserve">,</w:t>
      </w:r>
      <w:r>
        <w:t xml:space="preserve"> </w:t>
      </w:r>
      <w:r>
        <w:rPr>
          <w:rStyle w:val="VerbatimChar"/>
        </w:rPr>
        <w:t xml:space="preserve">confidential</w:t>
      </w:r>
      <w:r>
        <w:t xml:space="preserve">,</w:t>
      </w:r>
      <w:r>
        <w:t xml:space="preserve"> </w:t>
      </w:r>
      <w:r>
        <w:rPr>
          <w:rStyle w:val="VerbatimChar"/>
        </w:rPr>
        <w:t xml:space="preserve">technical</w:t>
      </w:r>
      <w:r>
        <w:t xml:space="preserve">,</w:t>
      </w:r>
      <w:r>
        <w:t xml:space="preserve"> </w:t>
      </w:r>
      <w:r>
        <w:rPr>
          <w:rStyle w:val="VerbatimChar"/>
        </w:rPr>
        <w:t xml:space="preserve">personal</w:t>
      </w:r>
      <w:r>
        <w:t xml:space="preserve"> </w:t>
      </w:r>
      <w:r>
        <w:t xml:space="preserve">и не подменять права доступа прикладного объекта.</w:t>
      </w:r>
    </w:p>
    <w:p>
      <w:pPr>
        <w:pStyle w:val="BodyText"/>
      </w:pPr>
      <w:r>
        <w:t xml:space="preserve">Диагностика выполняется через функцию</w:t>
      </w:r>
      <w:r>
        <w:t xml:space="preserve"> </w:t>
      </w:r>
      <w:r>
        <w:rPr>
          <w:rStyle w:val="VerbatimChar"/>
        </w:rPr>
        <w:t xml:space="preserve">HealthCheck</w:t>
      </w:r>
      <w:r>
        <w:t xml:space="preserve">: она проверяет runtime-схему, system JSON и наличие внешних контрактов EventBus, FT, TemporaryFiles, Security и TestA.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Руководство администратора Collaboration</dc:title>
  <dc:creator/>
  <cp:keywords/>
  <dcterms:created xsi:type="dcterms:W3CDTF">2026-10-09T13:57:38Z</dcterms:created>
  <dcterms:modified xsi:type="dcterms:W3CDTF">2026-10-09T13:57:38Z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