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«Основные настройки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нель-основные-настройки-системы"/>
    <w:p>
      <w:pPr>
        <w:pStyle w:val="Heading1"/>
      </w:pPr>
      <w:r>
        <w:t xml:space="preserve">Панель «Основные настройки системы»</w:t>
      </w:r>
    </w:p>
    <w:p>
      <w:pPr>
        <w:pStyle w:val="FirstParagraph"/>
      </w:pPr>
      <w:r>
        <w:t xml:space="preserve">Панель используется для настройки основных параметров системы ИРБИС 64/128.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Основные настройки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«Основные настройки системы»</w:t>
      </w:r>
    </w:p>
    <w:p>
      <w:pPr>
        <w:pStyle w:val="BodyText"/>
      </w:pPr>
      <w:r>
        <w:t xml:space="preserve">Первые информационные поля панели не предназначены для редактирования: наименование организации, ключ дистрибутива и версия системы.</w:t>
      </w:r>
    </w:p>
    <w:p>
      <w:pPr>
        <w:pStyle w:val="BodyText"/>
      </w:pPr>
      <w:r>
        <w:t xml:space="preserve">На панели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IP-адрес администратора системы;</w:t>
      </w:r>
    </w:p>
    <w:p>
      <w:pPr>
        <w:pStyle w:val="Compact"/>
        <w:numPr>
          <w:ilvl w:val="0"/>
          <w:numId w:val="1001"/>
        </w:numPr>
      </w:pPr>
      <w:r>
        <w:t xml:space="preserve">каталог хранения рабочих данных;</w:t>
      </w:r>
    </w:p>
    <w:p>
      <w:pPr>
        <w:pStyle w:val="Compact"/>
        <w:numPr>
          <w:ilvl w:val="0"/>
          <w:numId w:val="1001"/>
        </w:numPr>
      </w:pPr>
      <w:r>
        <w:t xml:space="preserve">параметры прокси-сервера;</w:t>
      </w:r>
    </w:p>
    <w:p>
      <w:pPr>
        <w:pStyle w:val="Compact"/>
        <w:numPr>
          <w:ilvl w:val="0"/>
          <w:numId w:val="1001"/>
        </w:numPr>
      </w:pPr>
      <w:r>
        <w:t xml:space="preserve">имена баз данных, используемых системой по умолчанию;</w:t>
      </w:r>
    </w:p>
    <w:p>
      <w:pPr>
        <w:pStyle w:val="Compact"/>
        <w:numPr>
          <w:ilvl w:val="0"/>
          <w:numId w:val="1001"/>
        </w:numPr>
      </w:pPr>
      <w:r>
        <w:t xml:space="preserve">служебные параметры, которые должны совпадать с текущей конфигурацией сервера приложений.</w:t>
      </w:r>
    </w:p>
    <w:p>
      <w:pPr>
        <w:pStyle w:val="FirstParagraph"/>
      </w:pPr>
      <w:r>
        <w:t xml:space="preserve">Актуальный состав системных параметров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системных констант и параметров</w:t>
        </w:r>
      </w:hyperlink>
      <w:r>
        <w:t xml:space="preserve">. При расхождении старых печатных руководств с текущей системой приоритет имеет текущая конфигурация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значения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, используемые кодом.</w:t>
      </w:r>
    </w:p>
    <w:p>
      <w:pPr>
        <w:pStyle w:val="BodyText"/>
      </w:pPr>
      <w:r>
        <w:t xml:space="preserve">Для сохранения данных используется кнопка «Сохранить».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Server128/SystemCore/OP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Server128/SystemCore/OP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«Основные настройки системы»</dc:title>
  <dc:creator/>
  <cp:keywords/>
  <dcterms:created xsi:type="dcterms:W3CDTF">2026-10-08T13:22:37Z</dcterms:created>
  <dcterms:modified xsi:type="dcterms:W3CDTF">2026-10-08T13:22:37Z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