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ATHRA</w:t>
      </w:r>
      <w:r>
        <w:t xml:space="preserve"> </w:t>
      </w:r>
      <w:r>
        <w:t xml:space="preserve">ведёт авторитетные записи индивидуальных авторов.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, открываются через полевой редактор и могут использоваться при нормализации библиографических записей.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t xml:space="preserve">База авторитетного файла индивидуальных авторов.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поиска, используемый для подбора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GetNewAthra</w:t>
            </w:r>
          </w:p>
        </w:tc>
        <w:tc>
          <w:tcPr/>
          <w:p>
            <w:pPr>
              <w:pStyle w:val="Compact"/>
            </w:pPr>
            <w:r>
              <w:t xml:space="preserve">Действие для создания или подбора новой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Краткое, полное и специализированное отображение авторитетной записи.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используются как контролируемый источник имён персональных авторов и связанных вариантов заголовка.</w:t>
      </w:r>
    </w:p>
    <w:p>
      <w:pPr>
        <w:pStyle w:val="BodyText"/>
      </w:pPr>
      <w:r>
        <w:t xml:space="preserve">См. также:</w:t>
      </w:r>
      <w:r>
        <w:t xml:space="preserve"> </w:t>
      </w:r>
      <w:hyperlink r:id="rId9">
        <w:r>
          <w:rPr>
            <w:rStyle w:val="Hyperlink"/>
          </w:rPr>
          <w:t xml:space="preserve">признак иностранного агента в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ATHRA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ATHRA/Help/ForeignAgen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THRA/Help/ForeignAgen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2026-10-08T14:43:08Z</dcterms:created>
  <dcterms:modified xsi:type="dcterms:W3CDTF">2026-10-08T14:43:08Z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