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[I128-1899] Возможность отключения лога ошибок xpft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6de489a40dd547d47808e14a1f4602bde269d7"/>
    <w:p>
      <w:pPr>
        <w:pStyle w:val="Heading1"/>
      </w:pPr>
      <w:r>
        <w:t xml:space="preserve">[I128-1899] Возможность отключения лога ошибок xpft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07:27</w:t>
      </w:r>
    </w:p>
    <w:p>
      <w:pPr>
        <w:pStyle w:val="Compact"/>
        <w:numPr>
          <w:ilvl w:val="0"/>
          <w:numId w:val="1001"/>
        </w:numPr>
      </w:pPr>
      <w:r>
        <w:t xml:space="preserve">Параметр «{</w:t>
      </w:r>
      <w:r>
        <w:rPr>
          <w:b/>
          <w:bCs/>
        </w:rPr>
        <w:t xml:space="preserve">}XPFT</w:t>
      </w:r>
      <w:r>
        <w:rPr>
          <w:b/>
          <w:bCs/>
          <w:i/>
          <w:iCs/>
        </w:rPr>
        <w:t xml:space="preserve">NOERRORLOG{</w:t>
      </w:r>
      <w:r>
        <w:rPr>
          <w:b/>
          <w:b/>
          <w:bCs/>
          <w:bCs/>
          <w:i/>
          <w:iCs/>
        </w:rPr>
        <w:t xml:space="preserve">}» секции</w:t>
      </w:r>
      <w:r>
        <w:rPr>
          <w:b/>
          <w:b/>
          <w:bCs/>
          <w:bCs/>
          <w:i/>
          <w:iCs/>
        </w:rPr>
        <w:t xml:space="preserve"> </w:t>
      </w:r>
      <w:hyperlink r:id="rId9">
        <w:r>
          <w:rPr>
            <w:rStyle w:val="Hyperlink"/>
            <w:b/>
            <w:b/>
            <w:bCs/>
            <w:bCs/>
            <w:i/>
            <w:iCs/>
          </w:rPr>
          <w:t xml:space="preserve">MAIN</w:t>
        </w:r>
      </w:hyperlink>
      <w:r>
        <w:rPr>
          <w:b/>
          <w:b/>
          <w:bCs/>
          <w:bCs/>
          <w:i/>
          <w:iCs/>
        </w:rPr>
        <w:t xml:space="preserve"> </w:t>
      </w:r>
      <w:r>
        <w:rPr>
          <w:b/>
          <w:b/>
          <w:bCs/>
          <w:bCs/>
          <w:i/>
          <w:iCs/>
        </w:rPr>
        <w:t xml:space="preserve">или </w:t>
      </w:r>
      <w:r>
        <w:rPr>
          <w:b/>
          <w:bCs/>
          <w:i/>
          <w:iCs/>
        </w:rPr>
        <w:t xml:space="preserve">Xpft</w:t>
      </w:r>
      <w:r>
        <w:rPr>
          <w:b/>
          <w:bCs/>
        </w:rPr>
        <w:t xml:space="preserve">no</w:t>
      </w:r>
      <w:r>
        <w:rPr>
          <w:b/>
          <w:bCs/>
          <w:i/>
          <w:iCs/>
        </w:rPr>
        <w:t xml:space="preserve">error</w:t>
      </w:r>
      <w:r>
        <w:rPr>
          <w:b/>
          <w:bCs/>
        </w:rPr>
        <w:t xml:space="preserve">log отладка форматов обрабатываемых на клиенте</w:t>
      </w:r>
    </w:p>
    <w:p>
      <w:pPr>
        <w:pStyle w:val="Compact"/>
        <w:numPr>
          <w:ilvl w:val="0"/>
          <w:numId w:val="1001"/>
        </w:numPr>
      </w:pPr>
      <w:r>
        <w:t xml:space="preserve">Ini- файлах АРМов или irbis_server.ini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00"/>
    <w:p>
      <w:pPr>
        <w:pStyle w:val="Heading3"/>
      </w:pPr>
      <w:r>
        <w:t xml:space="preserve">1.1. 🔗 Соответствует задача: I128-1900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[I128-1900]</w:t>
        </w:r>
      </w:hyperlink>
      <w:r>
        <w:t xml:space="preserve"> </w:t>
      </w:r>
      <w:r>
        <w:t xml:space="preserve">Возможность отключения лога ошибок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900/README" TargetMode="External" /><Relationship Type="http://schemas.openxmlformats.org/officeDocument/2006/relationships/hyperlink" Id="rId9" Target="M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[I128-1899] Возможность отключения лога ошибок xpft</dc:title>
  <dc:creator/>
  <cp:keywords/>
  <dcterms:created xsi:type="dcterms:W3CDTF">2026-10-05T21:21:30Z</dcterms:created>
  <dcterms:modified xsi:type="dcterms:W3CDTF">2026-10-05T21:21:30Z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