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[I128-1804] Параметр AccessDel для удаления отмеченных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4ee7c0a4cc811103291f46d6fce01e6ef8af4"/>
    <w:p>
      <w:pPr>
        <w:pStyle w:val="Heading1"/>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11" w:name="связанные-задачи"/>
    <w:p>
      <w:pPr>
        <w:pStyle w:val="Heading2"/>
      </w:pPr>
      <w:r>
        <w:t xml:space="preserve">1. Связанные задачи</w:t>
      </w:r>
    </w:p>
    <w:bookmarkStart w:id="10" w:name="соответствует-задача-i128-1802"/>
    <w:p>
      <w:pPr>
        <w:pStyle w:val="Heading3"/>
      </w:pPr>
      <w:r>
        <w:t xml:space="preserve">1.1. 🔗 Соответствует задача: I128-1802</w:t>
      </w:r>
    </w:p>
    <w:p>
      <w:pPr>
        <w:pStyle w:val="BlockText"/>
      </w:pPr>
      <w:hyperlink r:id="rId9">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8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8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[I128-1804] Параметр AccessDel для удаления отмеченных полей</dc:title>
  <dc:creator/>
  <cp:keywords/>
  <dcterms:created xsi:type="dcterms:W3CDTF">2026-10-06T21:13:00Z</dcterms:created>
  <dcterms:modified xsi:type="dcterms:W3CDTF">2026-10-06T21:13:00Z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