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 Distr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каталог-distr"/>
    <w:p>
      <w:pPr>
        <w:pStyle w:val="Heading1"/>
      </w:pPr>
      <w:r>
        <w:t xml:space="preserve">Каталог Distr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 </w:t>
      </w:r>
      <w:r>
        <w:t xml:space="preserve">хранит комплект поставки, который нужен для развертывания и обслуживания инфраструктуры ИРБИС64 рядом с ИРБИС 128.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В каталоге находятся:</w:t>
      </w:r>
    </w:p>
    <w:p>
      <w:pPr>
        <w:pStyle w:val="Compact"/>
        <w:numPr>
          <w:ilvl w:val="0"/>
          <w:numId w:val="1001"/>
        </w:numPr>
      </w:pPr>
      <w:r>
        <w:t xml:space="preserve">серверные компоненты для Windows и Linux;</w:t>
      </w:r>
    </w:p>
    <w:p>
      <w:pPr>
        <w:pStyle w:val="Compact"/>
        <w:numPr>
          <w:ilvl w:val="0"/>
          <w:numId w:val="1001"/>
        </w:numPr>
      </w:pPr>
      <w:r>
        <w:t xml:space="preserve">вспомогательные утилиты ИРБИС64;</w:t>
      </w:r>
    </w:p>
    <w:p>
      <w:pPr>
        <w:pStyle w:val="Compact"/>
        <w:numPr>
          <w:ilvl w:val="0"/>
          <w:numId w:val="1001"/>
        </w:numPr>
      </w:pPr>
      <w:r>
        <w:t xml:space="preserve">средства преобразования RTF в HTML для Windows-компонентов: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, сценарий запуска для записи результата в файл и конфигурация HTML-конвертации;</w:t>
      </w:r>
    </w:p>
    <w:p>
      <w:pPr>
        <w:pStyle w:val="Compact"/>
        <w:numPr>
          <w:ilvl w:val="0"/>
          <w:numId w:val="1001"/>
        </w:numPr>
      </w:pPr>
      <w:r>
        <w:t xml:space="preserve">redistributable-пакеты и библиотеки;</w:t>
      </w:r>
    </w:p>
    <w:p>
      <w:pPr>
        <w:pStyle w:val="Compact"/>
        <w:numPr>
          <w:ilvl w:val="0"/>
          <w:numId w:val="1001"/>
        </w:numPr>
      </w:pPr>
      <w:r>
        <w:t xml:space="preserve">библиотеки, которые нужны Linux-АРМам для работы внутри AppImage;</w:t>
      </w:r>
    </w:p>
    <w:p>
      <w:pPr>
        <w:pStyle w:val="Compact"/>
        <w:numPr>
          <w:ilvl w:val="0"/>
          <w:numId w:val="1001"/>
        </w:numPr>
      </w:pPr>
      <w:r>
        <w:t xml:space="preserve">типовые базы, словари, форматы, рабочие листы, FST, MNU, INI и другие системные файлы;</w:t>
      </w:r>
    </w:p>
    <w:p>
      <w:pPr>
        <w:pStyle w:val="Compact"/>
        <w:numPr>
          <w:ilvl w:val="0"/>
          <w:numId w:val="1001"/>
        </w:numPr>
      </w:pPr>
      <w:r>
        <w:t xml:space="preserve">документация поставки ИРБИС64;</w:t>
      </w:r>
    </w:p>
    <w:p>
      <w:pPr>
        <w:pStyle w:val="Compact"/>
        <w:numPr>
          <w:ilvl w:val="0"/>
          <w:numId w:val="1001"/>
        </w:numPr>
      </w:pPr>
      <w:r>
        <w:t xml:space="preserve">заготовки и примеры баз данных.</w:t>
      </w:r>
    </w:p>
    <w:bookmarkEnd w:id="9"/>
    <w:bookmarkStart w:id="10" w:name="linux-appimage-и-проверка-орфографии"/>
    <w:p>
      <w:pPr>
        <w:pStyle w:val="Heading2"/>
      </w:pPr>
      <w:r>
        <w:t xml:space="preserve">2. Linux AppImage и проверка орфографии</w:t>
      </w:r>
    </w:p>
    <w:p>
      <w:pPr>
        <w:pStyle w:val="FirstParagraph"/>
      </w:pPr>
      <w:r>
        <w:t xml:space="preserve">В Linux-сборке АРМ Каталогизатор ИРБИС64 Турбо использует библиотеку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для морфологического расширения поисковых терминов и проверки доступности словарей. При запуске из AppImage приложение сначала пытается загрузить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из системы, а если системная библиотека недоступна, использует библиотеку, включенную в AppImage.</w:t>
      </w:r>
    </w:p>
    <w:p>
      <w:pPr>
        <w:pStyle w:val="BodyText"/>
      </w:pPr>
      <w:r>
        <w:t xml:space="preserve">Такой порядок нужен для рабочих мест, где системные пакеты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myspell</w:t>
      </w:r>
      <w:r>
        <w:t xml:space="preserve"> </w:t>
      </w:r>
      <w:r>
        <w:t xml:space="preserve">конфликтуют по зависимостям. Например, установка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в Astra Linux может потребовать удаления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, поэтому AppImage должен оставаться резервным источником библиотеки для каталогизатора.</w:t>
      </w:r>
    </w:p>
    <w:p>
      <w:pPr>
        <w:pStyle w:val="BodyText"/>
      </w:pPr>
      <w:r>
        <w:t xml:space="preserve">Если морфологический поиск сообщает, что библиотека или словарь недоступны, администратору нужно проверить системный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, состав используемого AppImage и настройки словарей. Не следует заменять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 </w:t>
      </w:r>
      <w:r>
        <w:t xml:space="preserve">пакетом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без проверки зависимостей конкретного дистрибутива Linux.</w:t>
      </w:r>
    </w:p>
    <w:bookmarkEnd w:id="10"/>
    <w:bookmarkStart w:id="11" w:name="типовые-задания-автоввода-бд-rdr"/>
    <w:p>
      <w:pPr>
        <w:pStyle w:val="Heading2"/>
      </w:pPr>
      <w:r>
        <w:t xml:space="preserve">3. Типовые задания автоввода БД RDR</w:t>
      </w:r>
    </w:p>
    <w:p>
      <w:pPr>
        <w:pStyle w:val="FirstParagraph"/>
      </w:pPr>
      <w:r>
        <w:t xml:space="preserve">В поставку входят задания</w:t>
      </w:r>
      <w:r>
        <w:t xml:space="preserve"> </w:t>
      </w:r>
      <w:r>
        <w:rPr>
          <w:rStyle w:val="VerbatimChar"/>
        </w:rPr>
        <w:t xml:space="preserve">datai/rdr/autoin.gbl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datai/rdr/autoin_light.gbl</w:t>
      </w:r>
      <w:r>
        <w:t xml:space="preserve">, а также эталонные копии в</w:t>
      </w:r>
      <w:r>
        <w:t xml:space="preserve"> </w:t>
      </w:r>
      <w:r>
        <w:rPr>
          <w:rStyle w:val="VerbatimChar"/>
        </w:rPr>
        <w:t xml:space="preserve">modules/Admin/CanonicalDb/RDR</w:t>
      </w:r>
      <w:r>
        <w:t xml:space="preserve">. Они используются как типовые сценарии автоматической обработки записей БД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p>
      <w:pPr>
        <w:pStyle w:val="BodyText"/>
      </w:pPr>
      <w:r>
        <w:t xml:space="preserve">Обычный и облегченный варианты формируют служебное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в котором фиксируются дата обработки и пользователь. При создании или переносе читательской записи задание добавляет повторение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если для текущей даты и пользователя оно еще не найдено. В поставочном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дополнительно сохраняется технологический признак из</w:t>
      </w:r>
      <w:r>
        <w:t xml:space="preserve"> </w:t>
      </w:r>
      <w:r>
        <w:rPr>
          <w:rStyle w:val="VerbatimChar"/>
        </w:rPr>
        <w:t xml:space="preserve">IPRIVATE,ETR</w:t>
      </w:r>
      <w:r>
        <w:t xml:space="preserve">.</w:t>
      </w:r>
    </w:p>
    <w:p>
      <w:pPr>
        <w:pStyle w:val="BodyText"/>
      </w:pPr>
      <w:r>
        <w:t xml:space="preserve">Если для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выбран облегченный автоввод, подключать полный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только ради формирования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не требуется: типовой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уже содержит эту обработку.</w:t>
      </w:r>
    </w:p>
    <w:bookmarkEnd w:id="11"/>
    <w:bookmarkStart w:id="12" w:name="комплект-datai-2025-d1d2"/>
    <w:p>
      <w:pPr>
        <w:pStyle w:val="Heading2"/>
      </w:pPr>
      <w:r>
        <w:t xml:space="preserve">4. Комплект datai 2025 D1/D2</w:t>
      </w:r>
    </w:p>
    <w:p>
      <w:pPr>
        <w:pStyle w:val="FirstParagraph"/>
      </w:pPr>
      <w:r>
        <w:t xml:space="preserve">Подкаталог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содержит технологическое обеспечение ИРБИС64 из поставок 2025 D1 и 2025 D2. Это не пользовательская документация, а набор файлов, который мастер установки использует как источник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В комплект входят: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.par</w:t>
      </w:r>
      <w:r>
        <w:t xml:space="preserve">-файлы и каталоги типовых баз, в том числе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RDRV</w:t>
      </w:r>
      <w:r>
        <w:t xml:space="preserve">,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</w:t>
      </w:r>
      <w:r>
        <w:t xml:space="preserve"> </w:t>
      </w:r>
      <w:r>
        <w:rPr>
          <w:rStyle w:val="VerbatimChar"/>
        </w:rPr>
        <w:t xml:space="preserve">SK</w:t>
      </w:r>
      <w:r>
        <w:t xml:space="preserve">,</w:t>
      </w:r>
      <w:r>
        <w:t xml:space="preserve"> </w:t>
      </w:r>
      <w:r>
        <w:rPr>
          <w:rStyle w:val="VerbatimChar"/>
        </w:rPr>
        <w:t xml:space="preserve">VUZ</w:t>
      </w:r>
      <w:r>
        <w:t xml:space="preserve">,</w:t>
      </w:r>
      <w:r>
        <w:t xml:space="preserve"> </w:t>
      </w:r>
      <w:r>
        <w:rPr>
          <w:rStyle w:val="VerbatimChar"/>
        </w:rPr>
        <w:t xml:space="preserve">VKR</w:t>
      </w:r>
      <w:r>
        <w:t xml:space="preserve">,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и служебные базы ИРБИС 128;</w:t>
      </w:r>
    </w:p>
    <w:p>
      <w:pPr>
        <w:pStyle w:val="Compact"/>
        <w:numPr>
          <w:ilvl w:val="0"/>
          <w:numId w:val="1002"/>
        </w:numPr>
      </w:pPr>
      <w:r>
        <w:t xml:space="preserve">авторитетные базы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рабочие листы, форматы, меню, FST, PFT, справочники, начальные записи, индексные файлы и другие служебные файлы, которые нужны серверу ИРБИС64 и приложениям ИРБИС 128;</w:t>
      </w:r>
    </w:p>
    <w:p>
      <w:pPr>
        <w:pStyle w:val="Compact"/>
        <w:numPr>
          <w:ilvl w:val="0"/>
          <w:numId w:val="1002"/>
        </w:numPr>
      </w:pPr>
      <w:r>
        <w:t xml:space="preserve">общие таблицы и настройки, используемые при создании и обслуживании баз.</w:t>
      </w:r>
    </w:p>
    <w:p>
      <w:pPr>
        <w:pStyle w:val="FirstParagraph"/>
      </w:pPr>
      <w:r>
        <w:t xml:space="preserve">При установке локального серверного окружения мастер копирует содержимое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каталог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. После этого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получает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, указывающие на созданную серверную структуру.</w:t>
      </w:r>
    </w:p>
    <w:p>
      <w:pPr>
        <w:pStyle w:val="BodyText"/>
      </w:pPr>
      <w:r>
        <w:t xml:space="preserve">Значения по умолчанию для баз авторитетных файлов задаются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системных настройках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:</w:t>
      </w:r>
      <w:r>
        <w:t xml:space="preserve"> </w:t>
      </w:r>
      <w:r>
        <w:rPr>
          <w:rStyle w:val="VerbatimChar"/>
        </w:rPr>
        <w:t xml:space="preserve">DBATHRA = 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 = ATHRC</w:t>
      </w:r>
      <w:r>
        <w:t xml:space="preserve"> </w:t>
      </w:r>
      <w:r>
        <w:t xml:space="preserve">и остальные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. Эти значения должны соответствовать базам, которые присутствуют в скопированном комплекте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bookmarkEnd w:id="12"/>
    <w:bookmarkStart w:id="13" w:name="как-использовать"/>
    <w:p>
      <w:pPr>
        <w:pStyle w:val="Heading2"/>
      </w:pPr>
      <w:r>
        <w:t xml:space="preserve">5. Как использовать</w:t>
      </w:r>
    </w:p>
    <w:p>
      <w:pPr>
        <w:pStyle w:val="FirstParagraph"/>
      </w:pPr>
      <w:r>
        <w:rPr>
          <w:rStyle w:val="VerbatimChar"/>
        </w:rPr>
        <w:t xml:space="preserve">Distr</w:t>
      </w:r>
      <w:r>
        <w:t xml:space="preserve"> </w:t>
      </w:r>
      <w:r>
        <w:t xml:space="preserve">не является рабочим Help-разделом и не должен редактироваться как пользовательская справка ИРБИС 128. Файлы из него используются как источник для установки, обновления и восстановления типовых компонентов.</w:t>
      </w:r>
    </w:p>
    <w:p>
      <w:pPr>
        <w:pStyle w:val="BodyText"/>
      </w:pPr>
      <w:r>
        <w:t xml:space="preserve">При документировании пользовательских сценариев нужно ссылаться на актуальные Help-разделы ИРБИС 128. Документы внутри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остаются материалами поставки ИРБИС64 и используются для сверки технических деталей при необходимости.</w:t>
      </w:r>
    </w:p>
    <w:p>
      <w:pPr>
        <w:pStyle w:val="BodyText"/>
      </w:pPr>
      <w:r>
        <w:t xml:space="preserve">Для Windows-компонентов, которым требуется преобразование результата из RTF в HTML, актуальной утилитой является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. Ранее использовавшийся</w:t>
      </w:r>
      <w:r>
        <w:t xml:space="preserve"> </w:t>
      </w:r>
      <w:r>
        <w:rPr>
          <w:rStyle w:val="VerbatimChar"/>
        </w:rPr>
        <w:t xml:space="preserve">DocConverter</w:t>
      </w:r>
      <w:r>
        <w:t xml:space="preserve"> </w:t>
      </w:r>
      <w:r>
        <w:t xml:space="preserve">считается устаревшей внешней зависимостью и не должен требоваться для штатного преобразования RTF-документов в HTML. Сценарий запуска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 </w:t>
      </w:r>
      <w:r>
        <w:t xml:space="preserve">используется для сохранения результата, который сама утилита выводит в консоль, а файл конфигурации HTML-конвертации задает правила преобразования.</w:t>
      </w:r>
    </w:p>
    <w:bookmarkEnd w:id="13"/>
    <w:bookmarkStart w:id="14" w:name="ограничения"/>
    <w:p>
      <w:pPr>
        <w:pStyle w:val="Heading2"/>
      </w:pPr>
      <w:r>
        <w:t xml:space="preserve">6. Ограничения</w:t>
      </w:r>
    </w:p>
    <w:p>
      <w:pPr>
        <w:pStyle w:val="Compact"/>
        <w:numPr>
          <w:ilvl w:val="0"/>
          <w:numId w:val="1003"/>
        </w:numPr>
      </w:pPr>
      <w:r>
        <w:t xml:space="preserve">не переносить весь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в Help автоматически;</w:t>
      </w:r>
    </w:p>
    <w:p>
      <w:pPr>
        <w:pStyle w:val="Compact"/>
        <w:numPr>
          <w:ilvl w:val="0"/>
          <w:numId w:val="1003"/>
        </w:numPr>
      </w:pPr>
      <w:r>
        <w:t xml:space="preserve">не включать бинарные файлы и большие документы в DOCX-дерево Help;</w:t>
      </w:r>
    </w:p>
    <w:p>
      <w:pPr>
        <w:pStyle w:val="Compact"/>
        <w:numPr>
          <w:ilvl w:val="0"/>
          <w:numId w:val="1003"/>
        </w:numPr>
      </w:pPr>
      <w:r>
        <w:t xml:space="preserve">при миграции отдельных документов сначала конвертировать их во временный Markdown и вычитывать вручную;</w:t>
      </w:r>
    </w:p>
    <w:p>
      <w:pPr>
        <w:pStyle w:val="Compact"/>
        <w:numPr>
          <w:ilvl w:val="0"/>
          <w:numId w:val="1003"/>
        </w:numPr>
      </w:pPr>
      <w:r>
        <w:t xml:space="preserve">не смешивать справку ИРБИС 128 с исходными инструкциями сторонней поставки без явной редакторской адаптации.</w:t>
      </w:r>
    </w:p>
    <w:bookmarkEnd w:id="14"/>
    <w:bookmarkStart w:id="19" w:name="rfid-uni-в-linux-армах-ирбис64"/>
    <w:p>
      <w:pPr>
        <w:pStyle w:val="Heading2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15" w:name="где-включать"/>
    <w:p>
      <w:pPr>
        <w:pStyle w:val="Heading3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15"/>
    <w:bookmarkStart w:id="16" w:name="основные-параметры"/>
    <w:p>
      <w:pPr>
        <w:pStyle w:val="Heading3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16"/>
    <w:bookmarkStart w:id="17" w:name="условия-на-рабочем-месте"/>
    <w:p>
      <w:pPr>
        <w:pStyle w:val="Heading3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17"/>
    <w:bookmarkStart w:id="18" w:name="проверка-настройки"/>
    <w:p>
      <w:pPr>
        <w:pStyle w:val="Heading3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04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04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04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04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18"/>
    <w:bookmarkEnd w:id="19"/>
    <w:bookmarkStart w:id="22" w:name="порционная-рассылка-e-mail"/>
    <w:p>
      <w:pPr>
        <w:pStyle w:val="Heading2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05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05"/>
        </w:numPr>
      </w:pPr>
      <w:r>
        <w:t xml:space="preserve">рассылки пользователям ИРИ.</w:t>
      </w:r>
    </w:p>
    <w:bookmarkStart w:id="20" w:name="параметры-профиля"/>
    <w:p>
      <w:pPr>
        <w:pStyle w:val="Heading3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06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20"/>
    <w:bookmarkStart w:id="21" w:name="как-выполняется-отправка"/>
    <w:p>
      <w:pPr>
        <w:pStyle w:val="Heading3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21"/>
    <w:bookmarkEnd w:id="22"/>
    <w:bookmarkStart w:id="27" w:name="полнотекстовые-настройки-поставки"/>
    <w:p>
      <w:pPr>
        <w:pStyle w:val="Heading2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23" w:name="web-ирбис-php"/>
    <w:p>
      <w:pPr>
        <w:pStyle w:val="Heading3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23"/>
    <w:bookmarkStart w:id="24" w:name="server64-turbo"/>
    <w:p>
      <w:pPr>
        <w:pStyle w:val="Heading3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24"/>
    <w:bookmarkStart w:id="25" w:name="ограничение-релевантности"/>
    <w:p>
      <w:pPr>
        <w:pStyle w:val="Heading3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25"/>
    <w:bookmarkStart w:id="26" w:name="проверка-дистрибутива"/>
    <w:p>
      <w:pPr>
        <w:pStyle w:val="Heading3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8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8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 Distr</dc:title>
  <dc:creator/>
  <cp:keywords/>
  <dcterms:created xsi:type="dcterms:W3CDTF">2026-10-05T21:48:21Z</dcterms:created>
  <dcterms:modified xsi:type="dcterms:W3CDTF">2026-10-05T21:48:21Z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