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[I128-2173] Поддержка ИРБИС-ссылок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173-поддержка-ирбис-ссылок"/>
    <w:p>
      <w:pPr>
        <w:pStyle w:val="Heading1"/>
      </w:pPr>
      <w:r>
        <w:t xml:space="preserve">[I128-2173] Поддержка ИРБИС-ссылок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Help - Помощь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02:08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из АРМ Каталогизаторе они вели также в АРМ Каталогизатор, а из арм читатель в арм читатель. из книговыдачи в книговыдачу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508"/>
    <w:p>
      <w:pPr>
        <w:pStyle w:val="Heading3"/>
      </w:pPr>
      <w:r>
        <w:t xml:space="preserve">1.1. 🔗 Соответствует задача: I128-1508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[I128-1508]</w:t>
        </w:r>
      </w:hyperlink>
      <w:r>
        <w:t xml:space="preserve"> </w:t>
      </w:r>
      <w:r>
        <w:t xml:space="preserve">Поддержка ИРБИС-ссылок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50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50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[I128-2173] Поддержка ИРБИС-ссылок</dc:title>
  <dc:creator/>
  <cp:keywords/>
  <dcterms:created xsi:type="dcterms:W3CDTF">2026-10-06T10:58:56Z</dcterms:created>
  <dcterms:modified xsi:type="dcterms:W3CDTF">2026-10-06T10:58:56Z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