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WorkflowScreen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workflowscreen"/>
    <w:p>
      <w:pPr>
        <w:pStyle w:val="Heading1"/>
      </w:pPr>
      <w:r>
        <w:t xml:space="preserve">WorkflowScreen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хранит описания экранов ввода для workflow-переходов и операций над записью. Экран указывает схему he3, которую нужно открыть для редактирования текущей записи: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bookmarkStart w:id="9" w:name="запись-workflowscreen"/>
    <w:p>
      <w:pPr>
        <w:pStyle w:val="Heading2"/>
      </w:pPr>
      <w:r>
        <w:t xml:space="preserve">1. Запись WORKFLOWSCREEN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расширения: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область применения:</w:t>
            </w:r>
            <w:r>
              <w:t xml:space="preserve"> </w:t>
            </w:r>
            <w:r>
              <w:rPr>
                <w:rStyle w:val="VerbatimChar"/>
              </w:rPr>
              <w:t xml:space="preserve">transition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public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any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версия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разрешение публичного renderer-а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список методов ввода, разрешенных публичной форме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TTL черновика формы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bookmarkEnd w:id="9"/>
    <w:bookmarkStart w:id="10" w:name="схема-he3"/>
    <w:p>
      <w:pPr>
        <w:pStyle w:val="Heading2"/>
      </w:pPr>
      <w:r>
        <w:t xml:space="preserve">2. Схема he3</w:t>
      </w:r>
    </w:p>
    <w:p>
      <w:pPr>
        <w:pStyle w:val="FirstParagraph"/>
      </w:pPr>
      <w:r>
        <w:t xml:space="preserve">Для полного экрана используется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без пути. Такой экран редактирует набор полей записи, описанный рабочим листом.</w:t>
      </w:r>
    </w:p>
    <w:p>
      <w:pPr>
        <w:pStyle w:val="BodyText"/>
      </w:pPr>
      <w:r>
        <w:t xml:space="preserve">Для частичного экрана используется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- номер поля записи. Такой экран показывает только подполя из WSS и при сохранении меняет только эти подполя, сохраняя остальные подполя поля.</w:t>
      </w:r>
    </w:p>
    <w:p>
      <w:pPr>
        <w:pStyle w:val="BodyText"/>
      </w:pPr>
      <w:r>
        <w:t xml:space="preserve">Если полный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Workflow тоже применяет такое поле частично: меняются подполя, описанные вложенной WSS, а остальные подполя того же поля сохраняются.</w:t>
      </w:r>
    </w:p>
    <w:p>
      <w:pPr>
        <w:pStyle w:val="BodyText"/>
      </w:pPr>
      <w:r>
        <w:t xml:space="preserve">Расширение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можно не указывать, если тип схемы заполнен явно. Сам файл должен быть доступен he3 в обычном месте для рабочих листов модуля или системы.</w:t>
      </w:r>
    </w:p>
    <w:p>
      <w:pPr>
        <w:pStyle w:val="BodyText"/>
      </w:pPr>
      <w:r>
        <w:t xml:space="preserve">Если экран не указан, Workflow не открывает форму и переход выполняется без запроса дополнительных данных.</w:t>
      </w:r>
    </w:p>
    <w:bookmarkEnd w:id="10"/>
    <w:bookmarkStart w:id="11" w:name="методы-ввода-128001-и-128002"/>
    <w:p>
      <w:pPr>
        <w:pStyle w:val="Heading2"/>
      </w:pPr>
      <w:r>
        <w:t xml:space="preserve">3. Методы ввода 128001 и 128002</w:t>
      </w:r>
    </w:p>
    <w:p>
      <w:pPr>
        <w:pStyle w:val="FirstParagraph"/>
      </w:pPr>
      <w:r>
        <w:t xml:space="preserve">Для сложных секций рабочий лист может использовать специальные методы ввода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. Их настройки задаются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в формате JSON. Такой подход позволяет редактировать данные штатно через he3 без отдельного предварительного построения черновика формы.</w:t>
      </w:r>
    </w:p>
    <w:bookmarkEnd w:id="11"/>
    <w:bookmarkStart w:id="12" w:name="публичная-форма"/>
    <w:p>
      <w:pPr>
        <w:pStyle w:val="Heading2"/>
      </w:pPr>
      <w:r>
        <w:t xml:space="preserve">4. Публичная форма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может построить упрощенную HTML-форму по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страниц создания, где нельзя показывать пользователю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Такая форма использует ту же схему и те же storage-binding правила, но поддерживает только явно разрешенный ограниченный набор элементов ввода: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,</w:t>
      </w:r>
      <w:r>
        <w:t xml:space="preserve"> </w:t>
      </w:r>
      <w:r>
        <w:rPr>
          <w:rStyle w:val="VerbatimChar"/>
        </w:rPr>
        <w:t xml:space="preserve">sidtexteditor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sidfilelist</w:t>
      </w:r>
      <w:r>
        <w:t xml:space="preserve">.</w:t>
      </w:r>
    </w:p>
    <w:p>
      <w:pPr>
        <w:pStyle w:val="BodyText"/>
      </w:pPr>
      <w:r>
        <w:t xml:space="preserve">Публичная форма включается явно через</w:t>
      </w:r>
      <w:r>
        <w:t xml:space="preserve"> </w:t>
      </w:r>
      <w:r>
        <w:rPr>
          <w:rStyle w:val="VerbatimChar"/>
        </w:rPr>
        <w:t xml:space="preserve">1^I</w:t>
      </w:r>
      <w:r>
        <w:t xml:space="preserve">. Если в схеме есть редактируемое поле с неподдерживаемым методом ввода, форма не выводится частично: модуль возвращает диагностическую ошибку настройки. При сохранении модуль заново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переносит в запись только разрешенные поля и применяет настройки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.</w:t>
      </w:r>
    </w:p>
    <w:p>
      <w:pPr>
        <w:pStyle w:val="BodyText"/>
      </w:pPr>
      <w:r>
        <w:t xml:space="preserve">Для сценариев публичного ввода может создаваться запись-черновик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. В ней хранится ключ экрана, версия экрана, проект, тип записи, пользователь или сессия, trace id, срок жизни и безопасный JSON payload формы. Перед применением данных экран повторно валидируется по текущей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схеме.</w:t>
      </w:r>
    </w:p>
    <w:bookmarkEnd w:id="12"/>
    <w:bookmarkStart w:id="13" w:name="использование"/>
    <w:p>
      <w:pPr>
        <w:pStyle w:val="Heading2"/>
      </w:pPr>
      <w:r>
        <w:t xml:space="preserve">5.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CreateScreen()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GetScreens()</w:t>
            </w:r>
          </w:p>
        </w:tc>
        <w:tc>
          <w:tcPr/>
          <w:p>
            <w:pPr>
              <w:pStyle w:val="Compact"/>
            </w:pPr>
            <w:r>
              <w:t xml:space="preserve">получить экраны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GetScreenByKey()</w:t>
            </w:r>
          </w:p>
        </w:tc>
        <w:tc>
          <w:tcPr/>
          <w:p>
            <w:pPr>
              <w:pStyle w:val="Compact"/>
            </w:pPr>
            <w:r>
              <w:t xml:space="preserve">найти экран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GetScreenSchema()</w:t>
            </w:r>
          </w:p>
        </w:tc>
        <w:tc>
          <w:tcPr/>
          <w:p>
            <w:pPr>
              <w:pStyle w:val="Compact"/>
            </w:pPr>
            <w:r>
              <w:t xml:space="preserve">разобрать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в типизированную схему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ValidatePublicFormSchema()</w:t>
            </w:r>
          </w:p>
        </w:tc>
        <w:tc>
          <w:tcPr/>
          <w:p>
            <w:pPr>
              <w:pStyle w:val="Compact"/>
            </w:pPr>
            <w:r>
              <w:t xml:space="preserve">проверить, что экран пригоден для публичной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RenderPublicForm()</w:t>
            </w:r>
          </w:p>
        </w:tc>
        <w:tc>
          <w:tcPr/>
          <w:p>
            <w:pPr>
              <w:pStyle w:val="Compact"/>
            </w:pPr>
            <w:r>
              <w:t xml:space="preserve">построить публичную HTML-форму по рабочему листу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ApplyPublicFormToRecord()</w:t>
            </w:r>
          </w:p>
        </w:tc>
        <w:tc>
          <w:tcPr/>
          <w:p>
            <w:pPr>
              <w:pStyle w:val="Compact"/>
            </w:pPr>
            <w:r>
              <w:t xml:space="preserve">применить данные публичной формы к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CreateDraft()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черновика публичного экрана</w:t>
            </w:r>
          </w:p>
        </w:tc>
      </w:tr>
    </w:tbl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WorkflowScreen</dc:title>
  <dc:creator/>
  <cp:keywords/>
  <dcterms:created xsi:type="dcterms:W3CDTF">2026-10-07T11:39:35Z</dcterms:created>
  <dcterms:modified xsi:type="dcterms:W3CDTF">2026-10-07T11:39:35Z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