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Слияние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ияние-записей"/>
    <w:p>
      <w:pPr>
        <w:pStyle w:val="Heading1"/>
      </w:pPr>
      <w:r>
        <w:t xml:space="preserve">Слияние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MergeRecords</w:t>
      </w:r>
      <w:r>
        <w:t xml:space="preserve"> </w:t>
      </w:r>
      <w:r>
        <w:t xml:space="preserve">выполняет слияние записи-источника с записью-приемником при построении сводных записей. Он применяется в связке с импортом и нормализацией записей, прежде всего в сценариях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где несколько записей из разных баз должны быть сведены в одну запись сводного каталога.</w:t>
      </w:r>
    </w:p>
    <w:p>
      <w:pPr>
        <w:pStyle w:val="BodyText"/>
      </w:pPr>
      <w:r>
        <w:t xml:space="preserve">Модуль не предоставляет отдельный пользовательский экран. Его основная роль - набор правил, функций и мергеров полей для безопасного переноса библиографических данных, связей с журналами и номерами, держателей, ссылок на полные тексты и служебных признаков.</w:t>
      </w:r>
    </w:p>
    <w:bookmarkStart w:id="9" w:name="назначение-mergerecords"/>
    <w:p>
      <w:pPr>
        <w:pStyle w:val="Heading2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bookmarkStart w:id="10" w:name="алгоритм-слияния"/>
    <w:p>
      <w:pPr>
        <w:pStyle w:val="Heading2"/>
      </w:pPr>
      <w:r>
        <w:t xml:space="preserve">Алгоритм слияния</w:t>
      </w:r>
    </w:p>
    <w:p>
      <w:pPr>
        <w:pStyle w:val="FirstParagraph"/>
      </w:pPr>
      <w:r>
        <w:t xml:space="preserve">Основной маршрут выполнения: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Merge</w:t>
      </w:r>
      <w:r>
        <w:t xml:space="preserve"> </w:t>
      </w:r>
      <w:r>
        <w:t xml:space="preserve">принимает запись-приемник, запись-источник и контекст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есть шифры</w:t>
      </w:r>
      <w:r>
        <w:t xml:space="preserve"> </w:t>
      </w:r>
      <w:r>
        <w:rPr>
          <w:rStyle w:val="VerbatimChar"/>
        </w:rPr>
        <w:t xml:space="preserve">jssh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, модуль ищет связанные записи журнала и номера в базе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sprepareRecord</w:t>
      </w:r>
      <w:r>
        <w:t xml:space="preserve"> </w:t>
      </w:r>
      <w:r>
        <w:t xml:space="preserve">очищает пустые поля записи-приемника и проверяет режим эталонной записи.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sprepareMergeClientRecord</w:t>
      </w:r>
      <w:r>
        <w:t xml:space="preserve"> </w:t>
      </w:r>
      <w:r>
        <w:t xml:space="preserve">проходит по полям записи-источника.</w:t>
      </w:r>
    </w:p>
    <w:p>
      <w:pPr>
        <w:pStyle w:val="Compact"/>
        <w:numPr>
          <w:ilvl w:val="0"/>
          <w:numId w:val="1003"/>
        </w:numPr>
      </w:pPr>
      <w:r>
        <w:t xml:space="preserve">Для каждого поля сначала вызывается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 затем при необходимости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TryToLoadMerger</w:t>
      </w:r>
      <w:r>
        <w:t xml:space="preserve"> </w:t>
      </w:r>
      <w:r>
        <w:t xml:space="preserve">ищет специализированный мергер в</w:t>
      </w:r>
      <w:r>
        <w:t xml:space="preserve"> </w:t>
      </w:r>
      <w:r>
        <w:rPr>
          <w:rStyle w:val="VerbatimChar"/>
        </w:rPr>
        <w:t xml:space="preserve">modules/MergeRecords/FieldMergers/&lt;тип&gt;/&lt;поле&gt;.inc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общего слияния последовательно вызываются предметные функции</w:t>
      </w:r>
      <w:r>
        <w:t xml:space="preserve"> </w:t>
      </w:r>
      <w:r>
        <w:rPr>
          <w:rStyle w:val="VerbatimChar"/>
        </w:rPr>
        <w:t xml:space="preserve">sprepareNJ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sprepare330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sprepare691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sprepareRDR</w:t>
      </w:r>
      <w:r>
        <w:t xml:space="preserve">,</w:t>
      </w:r>
      <w:r>
        <w:t xml:space="preserve"> </w:t>
      </w:r>
      <w:r>
        <w:rPr>
          <w:rStyle w:val="VerbatimChar"/>
        </w:rPr>
        <w:t xml:space="preserve">sprepare902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оставшихся полей может быть построена частотная карта значений по записям-источникам из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Режим эталонной записи работает двумя способами:</w:t>
      </w:r>
    </w:p>
    <w:p>
      <w:pPr>
        <w:pStyle w:val="Compact"/>
        <w:numPr>
          <w:ilvl w:val="0"/>
          <w:numId w:val="1004"/>
        </w:numPr>
      </w:pPr>
      <w:r>
        <w:t xml:space="preserve">через настройку</w:t>
      </w:r>
      <w:r>
        <w:t xml:space="preserve"> </w:t>
      </w:r>
      <w:r>
        <w:rPr>
          <w:rStyle w:val="VerbatimChar"/>
        </w:rPr>
        <w:t xml:space="preserve">importEtalonDb</w:t>
      </w:r>
      <w:r>
        <w:t xml:space="preserve">: если уже есть запись из эталонной БД, остальные источники не меняют основное содержание, но держатель</w:t>
      </w:r>
      <w:r>
        <w:t xml:space="preserve"> </w:t>
      </w:r>
      <w:r>
        <w:rPr>
          <w:rStyle w:val="VerbatimChar"/>
        </w:rPr>
        <w:t xml:space="preserve">902</w:t>
      </w:r>
      <w:r>
        <w:t xml:space="preserve"> </w:t>
      </w:r>
      <w:r>
        <w:t xml:space="preserve">все равно обрабатывается;</w:t>
      </w:r>
    </w:p>
    <w:p>
      <w:pPr>
        <w:pStyle w:val="Compact"/>
        <w:numPr>
          <w:ilvl w:val="0"/>
          <w:numId w:val="1004"/>
        </w:numPr>
      </w:pPr>
      <w:r>
        <w:t xml:space="preserve">через формат</w:t>
      </w:r>
      <w:r>
        <w:t xml:space="preserve"> </w:t>
      </w:r>
      <w:r>
        <w:rPr>
          <w:rStyle w:val="VerbatimChar"/>
        </w:rPr>
        <w:t xml:space="preserve">fmtEtalonESVODT</w:t>
      </w:r>
      <w:r>
        <w:t xml:space="preserve">: если формат для сводной записи возвращает</w:t>
      </w:r>
      <w:r>
        <w:t xml:space="preserve"> </w:t>
      </w:r>
      <w:r>
        <w:rPr>
          <w:rStyle w:val="VerbatimChar"/>
        </w:rPr>
        <w:t xml:space="preserve">1</w:t>
      </w:r>
      <w:r>
        <w:t xml:space="preserve">, основное слияние пропускается, а обрабатывается только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p>
      <w:pPr>
        <w:pStyle w:val="FirstParagraph"/>
      </w:pPr>
      <w:r>
        <w:t xml:space="preserve">Особые функции: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sprepareNJ</w:t>
      </w:r>
      <w:r>
        <w:t xml:space="preserve"> </w:t>
      </w:r>
      <w:r>
        <w:t xml:space="preserve">поддерживает связи номера журнала с записью журнала и при необходимости пытается подтянуть</w:t>
      </w:r>
      <w:r>
        <w:t xml:space="preserve"> </w:t>
      </w:r>
      <w:r>
        <w:rPr>
          <w:rStyle w:val="VerbatimChar"/>
        </w:rPr>
        <w:t xml:space="preserve">922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MARS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sprepareASP</w:t>
      </w:r>
      <w:r>
        <w:t xml:space="preserve"> </w:t>
      </w:r>
      <w:r>
        <w:t xml:space="preserve">устанавливает связь аналитической записи с номером журнала через</w:t>
      </w:r>
      <w:r>
        <w:t xml:space="preserve"> </w:t>
      </w:r>
      <w:r>
        <w:rPr>
          <w:rStyle w:val="VerbatimChar"/>
        </w:rPr>
        <w:t xml:space="preserve">463^W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sprepare330</w:t>
      </w:r>
      <w:r>
        <w:t xml:space="preserve"> </w:t>
      </w:r>
      <w:r>
        <w:t xml:space="preserve">выбирает аннотацию с большим числом повторений поля</w:t>
      </w:r>
      <w:r>
        <w:t xml:space="preserve"> </w:t>
      </w:r>
      <w:r>
        <w:rPr>
          <w:rStyle w:val="VerbatimChar"/>
        </w:rPr>
        <w:t xml:space="preserve">330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sprepare922</w:t>
      </w:r>
      <w:r>
        <w:t xml:space="preserve"> </w:t>
      </w:r>
      <w:r>
        <w:t xml:space="preserve">выбирает оглавление с большим числом повторений поля</w:t>
      </w:r>
      <w:r>
        <w:t xml:space="preserve"> </w:t>
      </w:r>
      <w:r>
        <w:rPr>
          <w:rStyle w:val="VerbatimChar"/>
        </w:rPr>
        <w:t xml:space="preserve">922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sprepareRDR</w:t>
      </w:r>
      <w:r>
        <w:t xml:space="preserve"> </w:t>
      </w:r>
      <w:r>
        <w:t xml:space="preserve">добавляет служебные данные авторизации для читательских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sprepare902</w:t>
      </w:r>
      <w:r>
        <w:t xml:space="preserve"> </w:t>
      </w:r>
      <w:r>
        <w:t xml:space="preserve">добавляет или обновляет сведения о держателе документа.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907</w:t>
      </w:r>
      <w:r>
        <w:t xml:space="preserve">,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поля, обработанные специализированными мержерами, исключаются из статистического выбора значений через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.</w:t>
      </w:r>
    </w:p>
    <w:bookmarkEnd w:id="10"/>
    <w:bookmarkStart w:id="11" w:name="настройки-mergerecords"/>
    <w:p>
      <w:pPr>
        <w:pStyle w:val="Heading2"/>
      </w:pPr>
      <w:r>
        <w:t xml:space="preserve">Настройки MergeRecords</w:t>
      </w:r>
    </w:p>
    <w:p>
      <w:pPr>
        <w:pStyle w:val="FirstParagraph"/>
      </w:pPr>
      <w:r>
        <w:t xml:space="preserve">Настройки модуля хранятся в записи модуля и редактируются через стандартный редактор настроек.</w:t>
      </w:r>
    </w:p>
    <w:p>
      <w:pPr>
        <w:pStyle w:val="BodyText"/>
      </w:pPr>
      <w:r>
        <w:t xml:space="preserve">Основные группы настроек: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importEtalonDb</w:t>
      </w:r>
      <w:r>
        <w:t xml:space="preserve"> </w:t>
      </w:r>
      <w:r>
        <w:t xml:space="preserve">- имя эталонной БД-источника;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fmtEtalonESVODT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fmtEtalonESVODTModule</w:t>
      </w:r>
      <w:r>
        <w:t xml:space="preserve"> </w:t>
      </w:r>
      <w:r>
        <w:t xml:space="preserve">- формат, определяющий, является ли сводная запись эталонной;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fieldRules</w:t>
      </w:r>
      <w:r>
        <w:t xml:space="preserve"> </w:t>
      </w:r>
      <w:r>
        <w:t xml:space="preserve">- специальные правила обработки отдельных полей;</w:t>
      </w:r>
    </w:p>
    <w:p>
      <w:pPr>
        <w:pStyle w:val="Compact"/>
        <w:numPr>
          <w:ilvl w:val="0"/>
          <w:numId w:val="1006"/>
        </w:numPr>
      </w:pPr>
      <w:r>
        <w:t xml:space="preserve">настройки импорта ссылок из</w:t>
      </w:r>
      <w:r>
        <w:t xml:space="preserve"> </w:t>
      </w:r>
      <w:r>
        <w:rPr>
          <w:rStyle w:val="VerbatimChar"/>
        </w:rPr>
        <w:t xml:space="preserve">951</w:t>
      </w:r>
      <w:r>
        <w:t xml:space="preserve">,</w:t>
      </w:r>
      <w:r>
        <w:t xml:space="preserve"> </w:t>
      </w:r>
      <w:r>
        <w:rPr>
          <w:rStyle w:val="VerbatimChar"/>
        </w:rPr>
        <w:t xml:space="preserve">955</w:t>
      </w:r>
      <w:r>
        <w:t xml:space="preserve">,</w:t>
      </w:r>
      <w:r>
        <w:t xml:space="preserve"> </w:t>
      </w:r>
      <w:r>
        <w:rPr>
          <w:rStyle w:val="VerbatimChar"/>
        </w:rPr>
        <w:t xml:space="preserve">1289</w:t>
      </w:r>
      <w:r>
        <w:t xml:space="preserve"> </w:t>
      </w:r>
      <w:r>
        <w:t xml:space="preserve">и масочные правила для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import951UrlFilterFunctionName</w:t>
      </w:r>
      <w:r>
        <w:t xml:space="preserve"> </w:t>
      </w:r>
      <w:r>
        <w:t xml:space="preserve">- имя функции фильтра ссылок;</w:t>
      </w:r>
    </w:p>
    <w:p>
      <w:pPr>
        <w:pStyle w:val="Compact"/>
        <w:numPr>
          <w:ilvl w:val="0"/>
          <w:numId w:val="1006"/>
        </w:numPr>
      </w:pPr>
      <w:r>
        <w:t xml:space="preserve">дополнительные флаги</w:t>
      </w:r>
      <w:r>
        <w:t xml:space="preserve"> </w:t>
      </w:r>
      <w:r>
        <w:rPr>
          <w:rStyle w:val="VerbatimChar"/>
        </w:rPr>
        <w:t xml:space="preserve">advImportAuthorWorkPlace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advRemoveFieldsWithNoSources</w:t>
      </w:r>
      <w:r>
        <w:t xml:space="preserve">,</w:t>
      </w:r>
      <w:r>
        <w:t xml:space="preserve"> </w:t>
      </w:r>
      <w:r>
        <w:rPr>
          <w:rStyle w:val="VerbatimChar"/>
        </w:rPr>
        <w:t xml:space="preserve">advUseSataValuesForDefaultFields</w:t>
      </w:r>
      <w:r>
        <w:t xml:space="preserve">.</w:t>
      </w:r>
    </w:p>
    <w:p>
      <w:pPr>
        <w:pStyle w:val="FirstParagraph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fieldRules</w:t>
      </w:r>
      <w:r>
        <w:t xml:space="preserve"> </w:t>
      </w:r>
      <w:r>
        <w:t xml:space="preserve">задаются по БД-источнику и номеру поля. Поддерживаются режимы: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</w:t>
      </w:r>
      <w:r>
        <w:t xml:space="preserve"> </w:t>
      </w:r>
      <w:r>
        <w:t xml:space="preserve">- не обрабатывать поле;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replacefield</w:t>
      </w:r>
      <w:r>
        <w:t xml:space="preserve"> </w:t>
      </w:r>
      <w:r>
        <w:t xml:space="preserve">- использовать все повторения поля из записи-источника;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skipifsvodexists</w:t>
      </w:r>
      <w:r>
        <w:t xml:space="preserve"> </w:t>
      </w:r>
      <w:r>
        <w:t xml:space="preserve">- не обрабатывать поле, если в сводной записи оно уже заполнено.</w:t>
      </w:r>
    </w:p>
    <w:p>
      <w:pPr>
        <w:pStyle w:val="FirstParagraph"/>
      </w:pPr>
      <w:r>
        <w:t xml:space="preserve">Настройки импорта ссылок управляют тем, какие данные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1289^A</w:t>
      </w:r>
      <w:r>
        <w:t xml:space="preserve"> </w:t>
      </w:r>
      <w:r>
        <w:t xml:space="preserve">переносить в сводную запись или отправлять в очередь</w:t>
      </w:r>
      <w:r>
        <w:t xml:space="preserve"> </w:t>
      </w:r>
      <w:r>
        <w:rPr>
          <w:rStyle w:val="VerbatimChar"/>
        </w:rPr>
        <w:t xml:space="preserve">FT/ImportFromLink</w:t>
      </w:r>
      <w:r>
        <w:t xml:space="preserve">. Функции</w:t>
      </w:r>
      <w:r>
        <w:t xml:space="preserve"> </w:t>
      </w:r>
      <w:r>
        <w:rPr>
          <w:rStyle w:val="VerbatimChar"/>
        </w:rPr>
        <w:t xml:space="preserve">UrlFilterFunction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UrlFilterFunctionGPNTB</w:t>
      </w:r>
      <w:r>
        <w:t xml:space="preserve"> </w:t>
      </w:r>
      <w:r>
        <w:t xml:space="preserve">могут разрешать или запрещать импорт конкретной ссылки по контексту источника.</w:t>
      </w:r>
    </w:p>
    <w:p>
      <w:pPr>
        <w:pStyle w:val="BodyText"/>
      </w:pPr>
      <w:r>
        <w:t xml:space="preserve">Файлы</w:t>
      </w:r>
      <w:r>
        <w:t xml:space="preserve"> </w:t>
      </w:r>
      <w:r>
        <w:rPr>
          <w:rStyle w:val="VerbatimChar"/>
        </w:rPr>
        <w:t xml:space="preserve">rl/*.rl</w:t>
      </w:r>
      <w:r>
        <w:t xml:space="preserve"> </w:t>
      </w:r>
      <w:r>
        <w:t xml:space="preserve">используются для построения настроек заимствования полей по типам документов. В них перечислены поля, которые могут быть доступны в редакторе настроек, а также поля, отключенные как технологические или локальные для конкретной организации.</w:t>
      </w:r>
    </w:p>
    <w:bookmarkEnd w:id="11"/>
    <w:bookmarkStart w:id="12" w:name="мергеры-полей"/>
    <w:p>
      <w:pPr>
        <w:pStyle w:val="Heading2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10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10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10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Слияние записей</dc:title>
  <dc:creator/>
  <cp:keywords/>
  <dcterms:created xsi:type="dcterms:W3CDTF">2026-10-06T22:13:43Z</dcterms:created>
  <dcterms:modified xsi:type="dcterms:W3CDTF">2026-10-06T22:13:43Z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