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Работа с записями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абота-с-записями"/>
    <w:p>
      <w:pPr>
        <w:pStyle w:val="Heading1"/>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9" w:name="чтение-записи"/>
    <w:p>
      <w:pPr>
        <w:pStyle w:val="Heading2"/>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01"/>
        </w:numPr>
      </w:pPr>
      <w:r>
        <w:t xml:space="preserve">прикладной модуль передает имя базы и MFN;</w:t>
      </w:r>
    </w:p>
    <w:p>
      <w:pPr>
        <w:pStyle w:val="Compact"/>
        <w:numPr>
          <w:ilvl w:val="0"/>
          <w:numId w:val="1001"/>
        </w:numPr>
      </w:pPr>
      <w:r>
        <w:t xml:space="preserve">провайдер открывает или берет из кэша контекст базы;</w:t>
      </w:r>
    </w:p>
    <w:p>
      <w:pPr>
        <w:pStyle w:val="Compact"/>
        <w:numPr>
          <w:ilvl w:val="0"/>
          <w:numId w:val="1001"/>
        </w:numPr>
      </w:pPr>
      <w:r>
        <w:t xml:space="preserve">по XRF определяется положение записи;</w:t>
      </w:r>
    </w:p>
    <w:p>
      <w:pPr>
        <w:pStyle w:val="Compact"/>
        <w:numPr>
          <w:ilvl w:val="0"/>
          <w:numId w:val="1001"/>
        </w:numPr>
      </w:pPr>
      <w:r>
        <w:t xml:space="preserve">из MST читается актуальная версия;</w:t>
      </w:r>
    </w:p>
    <w:p>
      <w:pPr>
        <w:pStyle w:val="Compact"/>
        <w:numPr>
          <w:ilvl w:val="0"/>
          <w:numId w:val="1001"/>
        </w:numPr>
      </w:pPr>
      <w:r>
        <w:t xml:space="preserve">поля записи преобразуются в нужную кодировку;</w:t>
      </w:r>
    </w:p>
    <w:p>
      <w:pPr>
        <w:pStyle w:val="Compact"/>
        <w:numPr>
          <w:ilvl w:val="0"/>
          <w:numId w:val="1001"/>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9"/>
    <w:bookmarkStart w:id="10" w:name="чтение-с-форматированием"/>
    <w:p>
      <w:pPr>
        <w:pStyle w:val="Heading2"/>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10"/>
    <w:bookmarkStart w:id="11" w:name="сохранение-записи"/>
    <w:p>
      <w:pPr>
        <w:pStyle w:val="Heading2"/>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02"/>
        </w:numPr>
      </w:pPr>
      <w:r>
        <w:t xml:space="preserve">применить автоматический ввод;</w:t>
      </w:r>
    </w:p>
    <w:p>
      <w:pPr>
        <w:pStyle w:val="Compact"/>
        <w:numPr>
          <w:ilvl w:val="0"/>
          <w:numId w:val="1002"/>
        </w:numPr>
      </w:pPr>
      <w:r>
        <w:t xml:space="preserve">выполнить формально-логический контроль;</w:t>
      </w:r>
    </w:p>
    <w:p>
      <w:pPr>
        <w:pStyle w:val="Compact"/>
        <w:numPr>
          <w:ilvl w:val="0"/>
          <w:numId w:val="1002"/>
        </w:numPr>
      </w:pPr>
      <w:r>
        <w:t xml:space="preserve">обработать специальные действия сохранения;</w:t>
      </w:r>
    </w:p>
    <w:p>
      <w:pPr>
        <w:pStyle w:val="Compact"/>
        <w:numPr>
          <w:ilvl w:val="0"/>
          <w:numId w:val="1002"/>
        </w:numPr>
      </w:pPr>
      <w:r>
        <w:t xml:space="preserve">подготовить обновление MST и XRF;</w:t>
      </w:r>
    </w:p>
    <w:p>
      <w:pPr>
        <w:pStyle w:val="Compact"/>
        <w:numPr>
          <w:ilvl w:val="0"/>
          <w:numId w:val="1002"/>
        </w:numPr>
      </w:pPr>
      <w:r>
        <w:t xml:space="preserve">записать новую версию записи;</w:t>
      </w:r>
    </w:p>
    <w:p>
      <w:pPr>
        <w:pStyle w:val="Compact"/>
        <w:numPr>
          <w:ilvl w:val="0"/>
          <w:numId w:val="1002"/>
        </w:numPr>
      </w:pPr>
      <w:r>
        <w:t xml:space="preserve">отметить необходимость актуализации индекса;</w:t>
      </w:r>
    </w:p>
    <w:p>
      <w:pPr>
        <w:pStyle w:val="Compact"/>
        <w:numPr>
          <w:ilvl w:val="0"/>
          <w:numId w:val="1002"/>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11"/>
    <w:bookmarkStart w:id="12" w:name="автоматический-ввод"/>
    <w:p>
      <w:pPr>
        <w:pStyle w:val="Heading2"/>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12"/>
    <w:bookmarkStart w:id="13" w:name="блокировки"/>
    <w:p>
      <w:pPr>
        <w:pStyle w:val="Heading2"/>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03"/>
        </w:numPr>
      </w:pPr>
      <w:r>
        <w:rPr>
          <w:rStyle w:val="VerbatimChar"/>
        </w:rPr>
        <w:t xml:space="preserve">RecLock</w:t>
      </w:r>
      <w:r>
        <w:t xml:space="preserve"> </w:t>
      </w:r>
      <w:r>
        <w:t xml:space="preserve">- блокирует запись;</w:t>
      </w:r>
    </w:p>
    <w:p>
      <w:pPr>
        <w:pStyle w:val="Compact"/>
        <w:numPr>
          <w:ilvl w:val="0"/>
          <w:numId w:val="1003"/>
        </w:numPr>
      </w:pPr>
      <w:r>
        <w:rPr>
          <w:rStyle w:val="VerbatimChar"/>
        </w:rPr>
        <w:t xml:space="preserve">RecUnlock</w:t>
      </w:r>
      <w:r>
        <w:t xml:space="preserve"> </w:t>
      </w:r>
      <w:r>
        <w:t xml:space="preserve">- снимает блокировку;</w:t>
      </w:r>
    </w:p>
    <w:p>
      <w:pPr>
        <w:pStyle w:val="Compact"/>
        <w:numPr>
          <w:ilvl w:val="0"/>
          <w:numId w:val="1003"/>
        </w:numPr>
      </w:pPr>
      <w:r>
        <w:rPr>
          <w:rStyle w:val="VerbatimChar"/>
        </w:rPr>
        <w:t xml:space="preserve">RecIsLocked</w:t>
      </w:r>
      <w:r>
        <w:t xml:space="preserve"> </w:t>
      </w:r>
      <w:r>
        <w:t xml:space="preserve">- проверяет состояние блокировки;</w:t>
      </w:r>
    </w:p>
    <w:p>
      <w:pPr>
        <w:pStyle w:val="Compact"/>
        <w:numPr>
          <w:ilvl w:val="0"/>
          <w:numId w:val="1003"/>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13"/>
    <w:bookmarkStart w:id="14" w:name="удаление"/>
    <w:p>
      <w:pPr>
        <w:pStyle w:val="Heading2"/>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14"/>
    <w:bookmarkStart w:id="15" w:name="импорт-и-создание-базы"/>
    <w:p>
      <w:pPr>
        <w:pStyle w:val="Heading2"/>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15"/>
    <w:bookmarkStart w:id="16" w:name="план-слияния-бд"/>
    <w:p>
      <w:pPr>
        <w:pStyle w:val="Heading2"/>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16"/>
    <w:bookmarkStart w:id="17" w:name="восстановление-после-сбоя"/>
    <w:p>
      <w:pPr>
        <w:pStyle w:val="Heading2"/>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Работа с записями</dc:title>
  <dc:creator/>
  <cp:keywords/>
  <dcterms:created xsi:type="dcterms:W3CDTF">2026-10-07T04:21:28Z</dcterms:created>
  <dcterms:modified xsi:type="dcterms:W3CDTF">2026-10-07T04:21:28Z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