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[I128-2106] В редакторе записи добавлена возможность открывать окно со средствами ввода при нажатии кнопки enter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c7990dbb6c6b464a97288deeceae5d663f8c2b"/>
    <w:p>
      <w:pPr>
        <w:pStyle w:val="Heading1"/>
      </w:pPr>
      <w:r>
        <w:t xml:space="preserve">[I128-2106] В редакторе записи добавлена возможность открывать окно со средствами ввода при нажатии кнопки enter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02:56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05"/>
    <w:p>
      <w:pPr>
        <w:pStyle w:val="Heading3"/>
      </w:pPr>
      <w:r>
        <w:t xml:space="preserve">1.1. 🔗 Соответствует задача: I128-2105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[I128-2105]</w:t>
        </w:r>
      </w:hyperlink>
      <w:r>
        <w:t xml:space="preserve"> </w:t>
      </w:r>
      <w:r>
        <w:t xml:space="preserve">В редакторе записи добавлена возможность открывать окно со средствами ввода при нажатии кнопки enter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0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0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[I128-2106] В редакторе записи добавлена возможность открывать окно со средствами ввода при нажатии кнопки enter</dc:title>
  <dc:creator/>
  <cp:keywords/>
  <dcterms:created xsi:type="dcterms:W3CDTF">2026-10-06T12:46:57Z</dcterms:created>
  <dcterms:modified xsi:type="dcterms:W3CDTF">2026-10-06T12:46:57Z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