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[I128-1427] русский язык в Queue/InfoQueue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27-русский-язык-в-queueinfoqueue"/>
    <w:p>
      <w:pPr>
        <w:pStyle w:val="Heading1"/>
      </w:pPr>
      <w:r>
        <w:t xml:space="preserve">[I128-1427] русский язык в Queue/InfoQueue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15"/>
    <w:p>
      <w:pPr>
        <w:pStyle w:val="Heading3"/>
      </w:pPr>
      <w:r>
        <w:t xml:space="preserve">1.1. 🔗 Соответствует задача: I128-1415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[I128-1415]</w:t>
        </w:r>
      </w:hyperlink>
      <w:r>
        <w:t xml:space="preserve"> </w:t>
      </w:r>
      <w:r>
        <w:t xml:space="preserve">Редизайн страницы информации об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[I128-1427] русский язык в Queue/InfoQueue</dc:title>
  <dc:creator/>
  <cp:keywords/>
  <dcterms:created xsi:type="dcterms:W3CDTF">2026-10-06T13:26:14Z</dcterms:created>
  <dcterms:modified xsi:type="dcterms:W3CDTF">2026-10-06T13:26:14Z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