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workflowtransition"/>
    <w:p>
      <w:pPr>
        <w:pStyle w:val="Heading1"/>
      </w:pPr>
      <w:r>
        <w:t xml:space="preserve">Назначение WorkflowTransition</w:t>
      </w:r>
    </w:p>
    <w:p>
      <w:pPr>
        <w:pStyle w:val="FirstParagraph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задает действия пользователя в workflow. Каждая запись перехода определяет, из каких статусов действие доступно, какой статус будет назначен, какой экран открыть и какие post-function выполнить.</w:t>
      </w:r>
    </w:p>
    <w:p>
      <w:pPr>
        <w:pStyle w:val="BodyText"/>
      </w:pPr>
      <w:r>
        <w:t xml:space="preserve">Подробное описание полей и сценариев настройки находится в разделе:</w:t>
      </w:r>
    </w:p>
    <w:bookmarkStart w:id="1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WorkflowTransition</dc:title>
  <dc:creator/>
  <cp:keywords/>
  <dcterms:created xsi:type="dcterms:W3CDTF">2026-10-07T13:00:55Z</dcterms:created>
  <dcterms:modified xsi:type="dcterms:W3CDTF">2026-10-07T13:00:55Z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