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API ИРБИС 64/128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1" w:name="api-ирбис-64128"/>
    <w:p>
      <w:pPr>
        <w:pStyle w:val="Heading1"/>
      </w:pPr>
      <w:r>
        <w:t xml:space="preserve">API ИРБИС 64/128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объединяет сервисы ИРБИС 64/128 для внешних приложений. Через него интеграционные клиенты могут обращаться к функциям читателей, заказов, продления, поиска записей, терминов, фасетов и сведений об экземплярах.</w:t>
      </w:r>
    </w:p>
    <w:p>
      <w:pPr>
        <w:pStyle w:val="BodyText"/>
      </w:pPr>
      <w:r>
        <w:t xml:space="preserve">Модуль также хранит реестр API-контрактов, профили внешней интеграции, mapping profiles, ExternalId, SyncPolicy и ConflictPolicy. Контракты описывают опубликованные методы, версии, транспорты, права, идемпотентность, диагностику и TestA-проверки. Профили интеграции ссылаются на контракт и настройки transport/security/secrets, но не содержат значений секретов. Mapping profiles и ExternalId задают безопасное сопоставление внешних объектов с внутренними object types без записи внешних ключей в частные поля доменных модулей. SyncPolicy и ConflictPolicy позволяют построить объяснимый план синхронизации без прямого изменения доменных записей внутри API.</w:t>
      </w:r>
    </w:p>
    <w:bookmarkStart w:id="15" w:name="назначение-модуля-api"/>
    <w:p>
      <w:pPr>
        <w:pStyle w:val="Heading2"/>
      </w:pPr>
      <w:r>
        <w:t xml:space="preserve">Назначение модуля API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предоставляет единый JSON-RPC сервер для интеграции внешних приложений с ИРБИС 128 и владеет реестром публичных API-контрактов. Модуль собирает в одной точке методы, которые внутри системы выполняются модулями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,</w:t>
      </w:r>
      <w:r>
        <w:t xml:space="preserve"> </w:t>
      </w:r>
      <w:r>
        <w:rPr>
          <w:rStyle w:val="VerbatimChar"/>
        </w:rPr>
        <w:t xml:space="preserve">EC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 и дает им стабильное metadata-описание.</w:t>
      </w:r>
    </w:p>
    <w:p>
      <w:pPr>
        <w:pStyle w:val="BodyText"/>
      </w:pPr>
      <w:r>
        <w:t xml:space="preserve">Административные записи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используются для API-контрактов, профилей внешней интеграции, mapping profiles, ExternalId, SyncPolicy и ConflictPolicy. Контракт фиксирует ключ, версию, статус публикации, методы, ресурсы, transport references, права, идемпотентность, Help и TestA. Профиль интеграции ссылается на контракт и задает внешнюю систему, направление обмена, transport profile, security subject и ссылки на Secrets. MappingProfile описывает сопоставление внешних полей, статусов, участников и файлов с системными контрактами ИРБИС 128. ExternalId связывает внешний идентификатор с внутренним object type и record reference. SyncPolicy и ConflictPolicy описывают dry-run sync, explainable diff и безопасный contract передачи изменений доменному модулю.</w:t>
      </w:r>
    </w:p>
    <w:p>
      <w:pPr>
        <w:pStyle w:val="BodyText"/>
      </w:pPr>
      <w:r>
        <w:t xml:space="preserve">Основная точка подключения:</w:t>
      </w:r>
    </w:p>
    <w:p>
      <w:pPr>
        <w:pStyle w:val="SourceCode"/>
      </w:pPr>
      <w:r>
        <w:rPr>
          <w:rStyle w:val="VerbatimChar"/>
        </w:rPr>
        <w:t xml:space="preserve">https://example.org/JSONRPC.php?i128Module=API</w:t>
      </w:r>
    </w:p>
    <w:p>
      <w:pPr>
        <w:pStyle w:val="FirstParagraph"/>
      </w:pPr>
      <w:r>
        <w:t xml:space="preserve">В адресе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 </w:t>
      </w:r>
      <w:r>
        <w:t xml:space="preserve">нужно указать адрес сервера ИРБИС 128. Параметр</w:t>
      </w:r>
      <w:r>
        <w:t xml:space="preserve"> </w:t>
      </w:r>
      <w:r>
        <w:rPr>
          <w:rStyle w:val="VerbatimChar"/>
        </w:rPr>
        <w:t xml:space="preserve">i128Module=API</w:t>
      </w:r>
      <w:r>
        <w:t xml:space="preserve"> </w:t>
      </w:r>
      <w:r>
        <w:t xml:space="preserve">выбирает JSON-RPC сервер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.</w:t>
      </w:r>
    </w:p>
    <w:bookmarkStart w:id="14" w:name="группы-методов"/>
    <w:p>
      <w:pPr>
        <w:pStyle w:val="Heading3"/>
      </w:pPr>
      <w:r>
        <w:t xml:space="preserve">1. Группы методов</w:t>
      </w:r>
    </w:p>
    <w:p>
      <w:pPr>
        <w:pStyle w:val="Compact"/>
        <w:numPr>
          <w:ilvl w:val="0"/>
          <w:numId w:val="1001"/>
        </w:numPr>
      </w:pPr>
      <w:r>
        <w:t xml:space="preserve">учетные записи читателей:</w:t>
      </w:r>
      <w:r>
        <w:t xml:space="preserve"> </w:t>
      </w:r>
      <w:r>
        <w:rPr>
          <w:rStyle w:val="VerbatimChar"/>
        </w:rPr>
        <w:t xml:space="preserve">GetUser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AddUser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DelUser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UpdateUser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UserFormular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заказы и продление:</w:t>
      </w:r>
      <w:r>
        <w:t xml:space="preserve"> </w:t>
      </w:r>
      <w:r>
        <w:rPr>
          <w:rStyle w:val="VerbatimChar"/>
        </w:rPr>
        <w:t xml:space="preserve">MakeOrder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DeleteOrder</w:t>
      </w:r>
      <w:r>
        <w:t xml:space="preserve">,</w:t>
      </w:r>
      <w:r>
        <w:t xml:space="preserve"> </w:t>
      </w:r>
      <w:r>
        <w:rPr>
          <w:rStyle w:val="VerbatimChar"/>
        </w:rPr>
        <w:t xml:space="preserve">GetOrders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BookReturnProlongation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сведения об экземплярах:</w:t>
      </w:r>
      <w:r>
        <w:t xml:space="preserve"> </w:t>
      </w:r>
      <w:r>
        <w:rPr>
          <w:rStyle w:val="VerbatimChar"/>
        </w:rPr>
        <w:t xml:space="preserve">GetExemplarsInfo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поиск и словари: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GetFasets</w:t>
      </w:r>
      <w:r>
        <w:t xml:space="preserve">.</w:t>
      </w:r>
    </w:p>
    <w:p>
      <w:pPr>
        <w:pStyle w:val="FirstParagraph"/>
      </w:pPr>
      <w:r>
        <w:t xml:space="preserve">Описание параметров и возвращаемых значений находится в разделе</w:t>
      </w:r>
      <w:r>
        <w:t xml:space="preserve"> </w:t>
      </w:r>
      <w:hyperlink r:id="rId9">
        <w:r>
          <w:rPr>
            <w:rStyle w:val="Hyperlink"/>
          </w:rPr>
          <w:t xml:space="preserve">JSON-RPC API модуля API</w:t>
        </w:r>
      </w:hyperlink>
      <w:r>
        <w:t xml:space="preserve">.</w:t>
      </w:r>
    </w:p>
    <w:p>
      <w:pPr>
        <w:pStyle w:val="BodyText"/>
      </w:pPr>
      <w:r>
        <w:t xml:space="preserve">Описание contract registry, профилей интеграции, mapping, ExternalId и sync/conflict policies находится в разделах</w:t>
      </w:r>
      <w:r>
        <w:t xml:space="preserve"> </w:t>
      </w:r>
      <w:hyperlink r:id="rId10">
        <w:r>
          <w:rPr>
            <w:rStyle w:val="Hyperlink"/>
          </w:rPr>
          <w:t xml:space="preserve">API-контракты</w:t>
        </w:r>
      </w:hyperlink>
      <w:r>
        <w:t xml:space="preserve">,</w:t>
      </w:r>
      <w:r>
        <w:t xml:space="preserve"> </w:t>
      </w:r>
      <w:hyperlink r:id="rId11">
        <w:r>
          <w:rPr>
            <w:rStyle w:val="Hyperlink"/>
          </w:rPr>
          <w:t xml:space="preserve">Профили внешней интеграции</w:t>
        </w:r>
      </w:hyperlink>
      <w:r>
        <w:t xml:space="preserve">,</w:t>
      </w:r>
      <w:r>
        <w:t xml:space="preserve"> </w:t>
      </w:r>
      <w:hyperlink r:id="rId12">
        <w:r>
          <w:rPr>
            <w:rStyle w:val="Hyperlink"/>
          </w:rPr>
          <w:t xml:space="preserve">Mapping и ExternalId</w:t>
        </w:r>
      </w:hyperlink>
      <w:r>
        <w:t xml:space="preserve"> </w:t>
      </w:r>
      <w:r>
        <w:t xml:space="preserve">и</w:t>
      </w:r>
      <w:r>
        <w:t xml:space="preserve"> </w:t>
      </w:r>
      <w:hyperlink r:id="rId13">
        <w:r>
          <w:rPr>
            <w:rStyle w:val="Hyperlink"/>
          </w:rPr>
          <w:t xml:space="preserve">SyncPolicy и ConflictPolicy</w:t>
        </w:r>
      </w:hyperlink>
      <w:r>
        <w:t xml:space="preserve">.</w:t>
      </w:r>
    </w:p>
    <w:bookmarkEnd w:id="14"/>
    <w:bookmarkEnd w:id="15"/>
    <w:bookmarkStart w:id="20" w:name="api-контракты"/>
    <w:p>
      <w:pPr>
        <w:pStyle w:val="Heading2"/>
      </w:pPr>
      <w:r>
        <w:t xml:space="preserve">API-контракты</w:t>
      </w:r>
    </w:p>
    <w:p>
      <w:pPr>
        <w:pStyle w:val="FirstParagraph"/>
      </w:pPr>
      <w:r>
        <w:t xml:space="preserve">API-контракт описывает опубликованную API-поверхность ИРБИС 128: стабильный ключ, версию, статус публикации, список методов и ресурсов, supported transports, права, идемпотентность, диагностику, Help и TestA-проверки.</w:t>
      </w:r>
    </w:p>
    <w:bookmarkStart w:id="16" w:name="системный-контракт"/>
    <w:p>
      <w:pPr>
        <w:pStyle w:val="Heading3"/>
      </w:pPr>
      <w:r>
        <w:t xml:space="preserve">1. Системный контракт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автоматически публикует контракт</w:t>
      </w:r>
      <w:r>
        <w:t xml:space="preserve"> </w:t>
      </w:r>
      <w:r>
        <w:rPr>
          <w:rStyle w:val="VerbatimChar"/>
        </w:rPr>
        <w:t xml:space="preserve">api.legacy-jsonrpc.v1</w:t>
      </w:r>
      <w:r>
        <w:t xml:space="preserve">. Он описывает существующую JSON-RPC точку:</w:t>
      </w:r>
    </w:p>
    <w:p>
      <w:pPr>
        <w:pStyle w:val="SourceCode"/>
      </w:pPr>
      <w:r>
        <w:rPr>
          <w:rStyle w:val="VerbatimChar"/>
        </w:rPr>
        <w:t xml:space="preserve">JSONRPC.php?i128Module=API</w:t>
      </w:r>
    </w:p>
    <w:p>
      <w:pPr>
        <w:pStyle w:val="FirstParagraph"/>
      </w:pPr>
      <w:r>
        <w:t xml:space="preserve">Поведение legacy JSON-RPC методов при этом не меняется. Контракт только делает их metadata машиночитаемой для администраторов, внешних потребителей, HealthCheck и TestA.</w:t>
      </w:r>
    </w:p>
    <w:bookmarkEnd w:id="16"/>
    <w:bookmarkStart w:id="17" w:name="записи-api-контрактов"/>
    <w:p>
      <w:pPr>
        <w:pStyle w:val="Heading3"/>
      </w:pPr>
      <w:r>
        <w:t xml:space="preserve">2. Записи API-контрактов</w:t>
      </w:r>
    </w:p>
    <w:p>
      <w:pPr>
        <w:pStyle w:val="FirstParagraph"/>
      </w:pPr>
      <w:r>
        <w:t xml:space="preserve">Дополнительный контракт можно завести как управляемую запись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с типом записи</w:t>
      </w:r>
      <w:r>
        <w:t xml:space="preserve"> </w:t>
      </w:r>
      <w:r>
        <w:rPr>
          <w:rStyle w:val="VerbatimChar"/>
        </w:rPr>
        <w:t xml:space="preserve">API-контракт</w:t>
      </w:r>
      <w:r>
        <w:t xml:space="preserve">.</w:t>
      </w:r>
    </w:p>
    <w:p>
      <w:pPr>
        <w:pStyle w:val="BodyText"/>
      </w:pPr>
      <w:r>
        <w:t xml:space="preserve">Основные поля: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Ключ</w:t>
      </w:r>
      <w:r>
        <w:t xml:space="preserve"> </w:t>
      </w:r>
      <w:r>
        <w:t xml:space="preserve">- стабильный технический ключ контракта.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Название</w:t>
      </w:r>
      <w:r>
        <w:t xml:space="preserve"> </w:t>
      </w:r>
      <w:r>
        <w:t xml:space="preserve">- человекочитаемое имя для администратора.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Версия</w:t>
      </w:r>
      <w:r>
        <w:t xml:space="preserve"> </w:t>
      </w:r>
      <w:r>
        <w:t xml:space="preserve">- версия контракта.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Статус публикации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Черновик</w:t>
      </w:r>
      <w:r>
        <w:t xml:space="preserve">,</w:t>
      </w:r>
      <w:r>
        <w:t xml:space="preserve"> </w:t>
      </w:r>
      <w:r>
        <w:rPr>
          <w:rStyle w:val="VerbatimChar"/>
        </w:rPr>
        <w:t xml:space="preserve">Опубликован</w:t>
      </w:r>
      <w:r>
        <w:t xml:space="preserve">,</w:t>
      </w:r>
      <w:r>
        <w:t xml:space="preserve"> </w:t>
      </w:r>
      <w:r>
        <w:rPr>
          <w:rStyle w:val="VerbatimChar"/>
        </w:rPr>
        <w:t xml:space="preserve">Устаревает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Выключен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Транспорты</w:t>
      </w:r>
      <w:r>
        <w:t xml:space="preserve"> </w:t>
      </w:r>
      <w:r>
        <w:t xml:space="preserve">- ссылки на transport-layer, например</w:t>
      </w:r>
      <w:r>
        <w:t xml:space="preserve"> </w:t>
      </w:r>
      <w:r>
        <w:rPr>
          <w:rStyle w:val="VerbatimChar"/>
        </w:rPr>
        <w:t xml:space="preserve">jsonrpc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rest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Методы</w:t>
      </w:r>
      <w:r>
        <w:t xml:space="preserve"> </w:t>
      </w:r>
      <w:r>
        <w:t xml:space="preserve">- методы, входящие в контракт.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Ресурсы</w:t>
      </w:r>
      <w:r>
        <w:t xml:space="preserve"> </w:t>
      </w:r>
      <w:r>
        <w:t xml:space="preserve">- логические ресурсы контракта.</w:t>
      </w:r>
    </w:p>
    <w:p>
      <w:pPr>
        <w:pStyle w:val="FirstParagraph"/>
      </w:pPr>
      <w:r>
        <w:t xml:space="preserve">Черновики не попадают в обычный публичный экспорт. Они доступны для административных проверок и HealthCheck при включении</w:t>
      </w:r>
      <w:r>
        <w:t xml:space="preserve"> </w:t>
      </w:r>
      <w:r>
        <w:rPr>
          <w:rStyle w:val="VerbatimChar"/>
        </w:rPr>
        <w:t xml:space="preserve">includeDraft</w:t>
      </w:r>
      <w:r>
        <w:t xml:space="preserve">.</w:t>
      </w:r>
    </w:p>
    <w:bookmarkEnd w:id="17"/>
    <w:bookmarkStart w:id="18" w:name="границы-ответственности"/>
    <w:p>
      <w:pPr>
        <w:pStyle w:val="Heading3"/>
      </w:pPr>
      <w:r>
        <w:t xml:space="preserve">3.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владеет contract registry, версиями методов и ресурсов, metadata, idempotency contract и API diagnostics.</w:t>
      </w:r>
    </w:p>
    <w:p>
      <w:pPr>
        <w:pStyle w:val="BodyText"/>
      </w:pPr>
      <w:r>
        <w:rPr>
          <w:rStyle w:val="VerbatimChar"/>
        </w:rPr>
        <w:t xml:space="preserve">JSONRPC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REST</w:t>
      </w:r>
      <w:r>
        <w:t xml:space="preserve"> </w:t>
      </w:r>
      <w:r>
        <w:t xml:space="preserve">остаются transport-слоями. Они принимают запросы и маршрутизируют вызовы, но не владеют API-контрактами.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 и masking.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хранит только metadata о требуемых правах и обязан обращаться к Security в runtime-операциях.</w:t>
      </w:r>
    </w:p>
    <w:p>
      <w:pPr>
        <w:pStyle w:val="BodyText"/>
      </w:pPr>
      <w:r>
        <w:rPr>
          <w:rStyle w:val="VerbatimChar"/>
        </w:rPr>
        <w:t xml:space="preserve">Secrets</w:t>
      </w:r>
      <w:r>
        <w:t xml:space="preserve"> </w:t>
      </w:r>
      <w:r>
        <w:t xml:space="preserve">хранит значения секретов. В API-контрактах и экспорте допустимы только ссылки на secrets.</w:t>
      </w:r>
    </w:p>
    <w:p>
      <w:pPr>
        <w:pStyle w:val="BodyText"/>
      </w:pPr>
      <w:r>
        <w:t xml:space="preserve">Доменные модули владеют бизнес-операциями и применением изменений.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не должен знать внутреннюю структуру их записей сверх опубликованной metadata.</w:t>
      </w:r>
    </w:p>
    <w:bookmarkEnd w:id="18"/>
    <w:bookmarkStart w:id="19" w:name="проверки"/>
    <w:p>
      <w:pPr>
        <w:pStyle w:val="Heading3"/>
      </w:pPr>
      <w:r>
        <w:t xml:space="preserve">4. Проверки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API/ValidateContractMetadata</w:t>
      </w:r>
      <w:r>
        <w:t xml:space="preserve"> </w:t>
      </w:r>
      <w:r>
        <w:t xml:space="preserve">проверяет форму одного контракта. Функция</w:t>
      </w:r>
      <w:r>
        <w:t xml:space="preserve"> </w:t>
      </w:r>
      <w:r>
        <w:rPr>
          <w:rStyle w:val="VerbatimChar"/>
        </w:rPr>
        <w:t xml:space="preserve">API/CheckHealth</w:t>
      </w:r>
      <w:r>
        <w:t xml:space="preserve"> </w:t>
      </w:r>
      <w:r>
        <w:t xml:space="preserve">проверяет системный legacy-контракт, дополнительные записи, metadata методов и отсутствие secret values в export.</w:t>
      </w:r>
    </w:p>
    <w:bookmarkEnd w:id="19"/>
    <w:bookmarkEnd w:id="20"/>
    <w:bookmarkStart w:id="24" w:name="профили-внешней-интеграции"/>
    <w:p>
      <w:pPr>
        <w:pStyle w:val="Heading2"/>
      </w:pPr>
      <w:r>
        <w:t xml:space="preserve">Профили внешней интеграции</w:t>
      </w:r>
    </w:p>
    <w:p>
      <w:pPr>
        <w:pStyle w:val="FirstParagraph"/>
      </w:pPr>
      <w:r>
        <w:t xml:space="preserve">Профиль внешней интеграции описывает, как внешняя система будет использовать API-контракт ИРБИС 128. Это metadata-настройка, а не runtime engine синхронизации.</w:t>
      </w:r>
    </w:p>
    <w:bookmarkStart w:id="21" w:name="что-хранит-профиль"/>
    <w:p>
      <w:pPr>
        <w:pStyle w:val="Heading3"/>
      </w:pPr>
      <w:r>
        <w:t xml:space="preserve">1. Что хранит профиль</w:t>
      </w:r>
    </w:p>
    <w:p>
      <w:pPr>
        <w:pStyle w:val="FirstParagraph"/>
      </w:pPr>
      <w:r>
        <w:t xml:space="preserve">Профиль содержит:</w:t>
      </w:r>
    </w:p>
    <w:p>
      <w:pPr>
        <w:pStyle w:val="Compact"/>
        <w:numPr>
          <w:ilvl w:val="0"/>
          <w:numId w:val="1003"/>
        </w:numPr>
      </w:pPr>
      <w:r>
        <w:t xml:space="preserve">стабильный ключ и название;</w:t>
      </w:r>
    </w:p>
    <w:p>
      <w:pPr>
        <w:pStyle w:val="Compact"/>
        <w:numPr>
          <w:ilvl w:val="0"/>
          <w:numId w:val="1003"/>
        </w:numPr>
      </w:pPr>
      <w:r>
        <w:t xml:space="preserve">внешнюю систему или класс интеграции;</w:t>
      </w:r>
    </w:p>
    <w:p>
      <w:pPr>
        <w:pStyle w:val="Compact"/>
        <w:numPr>
          <w:ilvl w:val="0"/>
          <w:numId w:val="1003"/>
        </w:numPr>
      </w:pPr>
      <w:r>
        <w:t xml:space="preserve">направление обмена: входящее, исходящее или двустороннее;</w:t>
      </w:r>
    </w:p>
    <w:p>
      <w:pPr>
        <w:pStyle w:val="Compact"/>
        <w:numPr>
          <w:ilvl w:val="0"/>
          <w:numId w:val="1003"/>
        </w:numPr>
      </w:pPr>
      <w:r>
        <w:t xml:space="preserve">ссылку на API-контракт и его версию;</w:t>
      </w:r>
    </w:p>
    <w:p>
      <w:pPr>
        <w:pStyle w:val="Compact"/>
        <w:numPr>
          <w:ilvl w:val="0"/>
          <w:numId w:val="1003"/>
        </w:numPr>
      </w:pPr>
      <w:r>
        <w:t xml:space="preserve">transport profile;</w:t>
      </w:r>
    </w:p>
    <w:p>
      <w:pPr>
        <w:pStyle w:val="Compact"/>
        <w:numPr>
          <w:ilvl w:val="0"/>
          <w:numId w:val="1003"/>
        </w:numPr>
      </w:pPr>
      <w:r>
        <w:t xml:space="preserve">security subject или сервисную учетную запись;</w:t>
      </w:r>
    </w:p>
    <w:p>
      <w:pPr>
        <w:pStyle w:val="Compact"/>
        <w:numPr>
          <w:ilvl w:val="0"/>
          <w:numId w:val="1003"/>
        </w:numPr>
      </w:pPr>
      <w:r>
        <w:t xml:space="preserve">ссылки на Secrets;</w:t>
      </w:r>
    </w:p>
    <w:p>
      <w:pPr>
        <w:pStyle w:val="Compact"/>
        <w:numPr>
          <w:ilvl w:val="0"/>
          <w:numId w:val="1003"/>
        </w:numPr>
      </w:pPr>
      <w:r>
        <w:t xml:space="preserve">ссылки на mapping profiles, SyncPolicy и базовые mapping metadata;</w:t>
      </w:r>
    </w:p>
    <w:p>
      <w:pPr>
        <w:pStyle w:val="Compact"/>
        <w:numPr>
          <w:ilvl w:val="0"/>
          <w:numId w:val="1003"/>
        </w:numPr>
      </w:pPr>
      <w:r>
        <w:t xml:space="preserve">idempotency policy;</w:t>
      </w:r>
    </w:p>
    <w:p>
      <w:pPr>
        <w:pStyle w:val="Compact"/>
        <w:numPr>
          <w:ilvl w:val="0"/>
          <w:numId w:val="1003"/>
        </w:numPr>
      </w:pPr>
      <w:r>
        <w:t xml:space="preserve">external id policy;</w:t>
      </w:r>
    </w:p>
    <w:p>
      <w:pPr>
        <w:pStyle w:val="Compact"/>
        <w:numPr>
          <w:ilvl w:val="0"/>
          <w:numId w:val="1003"/>
        </w:numPr>
      </w:pPr>
      <w:r>
        <w:t xml:space="preserve">режим dry-run по умолчанию;</w:t>
      </w:r>
    </w:p>
    <w:p>
      <w:pPr>
        <w:pStyle w:val="Compact"/>
        <w:numPr>
          <w:ilvl w:val="0"/>
          <w:numId w:val="1003"/>
        </w:numPr>
      </w:pPr>
      <w:r>
        <w:t xml:space="preserve">безопасные диагностические признаки.</w:t>
      </w:r>
    </w:p>
    <w:p>
      <w:pPr>
        <w:pStyle w:val="FirstParagraph"/>
      </w:pPr>
      <w:r>
        <w:t xml:space="preserve">Значения паролей, tokens, private keys и других секретов в профиле хранить нельзя. Для них используются только ссылки на модуль</w:t>
      </w:r>
      <w:r>
        <w:t xml:space="preserve"> </w:t>
      </w:r>
      <w:r>
        <w:rPr>
          <w:rStyle w:val="VerbatimChar"/>
        </w:rPr>
        <w:t xml:space="preserve">Secrets</w:t>
      </w:r>
      <w:r>
        <w:t xml:space="preserve">.</w:t>
      </w:r>
    </w:p>
    <w:bookmarkEnd w:id="21"/>
    <w:bookmarkStart w:id="22" w:name="что-не-входит-в-профиль"/>
    <w:p>
      <w:pPr>
        <w:pStyle w:val="Heading3"/>
      </w:pPr>
      <w:r>
        <w:t xml:space="preserve">2. Что не входит в профиль</w:t>
      </w:r>
    </w:p>
    <w:p>
      <w:pPr>
        <w:pStyle w:val="FirstParagraph"/>
      </w:pPr>
      <w:r>
        <w:t xml:space="preserve">Профиль не реализует двустороннюю синхронизацию, conflict resolution, retry, dead-letter, webhook delivery или бизнес-логику предметного модуля. Для политики синхронизации используются отдельные записи</w:t>
      </w:r>
      <w:r>
        <w:t xml:space="preserve"> </w:t>
      </w:r>
      <w:r>
        <w:rPr>
          <w:rStyle w:val="VerbatimChar"/>
        </w:rPr>
        <w:t xml:space="preserve">SyncPolicy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ConflictPolicy</w:t>
      </w:r>
      <w:r>
        <w:t xml:space="preserve">.</w:t>
      </w:r>
    </w:p>
    <w:p>
      <w:pPr>
        <w:pStyle w:val="BodyText"/>
      </w:pPr>
      <w:r>
        <w:t xml:space="preserve">Эти обязанности распределены так: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EventBus</w:t>
      </w:r>
      <w:r>
        <w:t xml:space="preserve"> </w:t>
      </w:r>
      <w:r>
        <w:t xml:space="preserve">владеет событиями, inbox/outbox и доставкой.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Queue</w:t>
      </w:r>
      <w:r>
        <w:t xml:space="preserve"> </w:t>
      </w:r>
      <w:r>
        <w:t xml:space="preserve">владеет фоновым выполнением, retry, timeout и dead-letter.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 и masking.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владеет стабильными field keys.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Workflow*</w:t>
      </w:r>
      <w:r>
        <w:t xml:space="preserve"> </w:t>
      </w:r>
      <w:r>
        <w:t xml:space="preserve">владеет статусами и переходами.</w:t>
      </w:r>
    </w:p>
    <w:p>
      <w:pPr>
        <w:pStyle w:val="Compact"/>
        <w:numPr>
          <w:ilvl w:val="0"/>
          <w:numId w:val="1004"/>
        </w:numPr>
      </w:pPr>
      <w:r>
        <w:t xml:space="preserve">Доменные модули применяют изменения и проверяют бизнес-правила.</w:t>
      </w:r>
    </w:p>
    <w:bookmarkEnd w:id="22"/>
    <w:bookmarkStart w:id="23" w:name="проверки-1"/>
    <w:p>
      <w:pPr>
        <w:pStyle w:val="Heading3"/>
      </w:pPr>
      <w:r>
        <w:t xml:space="preserve">3. Проверки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API/ValidateAdapterProfile</w:t>
      </w:r>
      <w:r>
        <w:t xml:space="preserve"> </w:t>
      </w:r>
      <w:r>
        <w:t xml:space="preserve">проверяет обязательные поля профиля, направление обмена, ссылку на APIContract, структуру</w:t>
      </w:r>
      <w:r>
        <w:t xml:space="preserve"> </w:t>
      </w:r>
      <w:r>
        <w:rPr>
          <w:rStyle w:val="VerbatimChar"/>
        </w:rPr>
        <w:t xml:space="preserve">secretRefs</w:t>
      </w:r>
      <w:r>
        <w:t xml:space="preserve"> </w:t>
      </w:r>
      <w:r>
        <w:t xml:space="preserve">и отсутствие secret values.</w:t>
      </w:r>
    </w:p>
    <w:p>
      <w:pPr>
        <w:pStyle w:val="BodyText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API/CheckHealth</w:t>
      </w:r>
      <w:r>
        <w:t xml:space="preserve"> </w:t>
      </w:r>
      <w:r>
        <w:t xml:space="preserve">дополнительно проверяет, что профиль ссылается на существующий контракт и не раскрывает секретные значения в export.</w:t>
      </w:r>
    </w:p>
    <w:p>
      <w:pPr>
        <w:pStyle w:val="BodyText"/>
      </w:pPr>
      <w:r>
        <w:t xml:space="preserve">Детальный mapping и реестр ExternalId описаны в разделе</w:t>
      </w:r>
      <w:r>
        <w:t xml:space="preserve"> </w:t>
      </w:r>
      <w:hyperlink r:id="rId12">
        <w:r>
          <w:rPr>
            <w:rStyle w:val="Hyperlink"/>
          </w:rPr>
          <w:t xml:space="preserve">Mapping и ExternalId</w:t>
        </w:r>
      </w:hyperlink>
      <w:r>
        <w:t xml:space="preserve">. Политики sync/conflict описаны в разделе</w:t>
      </w:r>
      <w:r>
        <w:t xml:space="preserve"> </w:t>
      </w:r>
      <w:hyperlink r:id="rId13">
        <w:r>
          <w:rPr>
            <w:rStyle w:val="Hyperlink"/>
          </w:rPr>
          <w:t xml:space="preserve">SyncPolicy и ConflictPolicy</w:t>
        </w:r>
      </w:hyperlink>
      <w:r>
        <w:t xml:space="preserve">.</w:t>
      </w:r>
    </w:p>
    <w:bookmarkEnd w:id="23"/>
    <w:bookmarkEnd w:id="24"/>
    <w:bookmarkStart w:id="30" w:name="mapping-и-externalid"/>
    <w:p>
      <w:pPr>
        <w:pStyle w:val="Heading2"/>
      </w:pPr>
      <w:r>
        <w:t xml:space="preserve">Mapping и ExternalId</w:t>
      </w:r>
    </w:p>
    <w:p>
      <w:pPr>
        <w:pStyle w:val="FirstParagraph"/>
      </w:pPr>
      <w:r>
        <w:rPr>
          <w:rStyle w:val="VerbatimChar"/>
        </w:rPr>
        <w:t xml:space="preserve">MappingProfile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ExternalId</w:t>
      </w:r>
      <w:r>
        <w:t xml:space="preserve"> </w:t>
      </w:r>
      <w:r>
        <w:t xml:space="preserve">являются общесистемными настройками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для внешних интеграций. Они позволяют внешней системе однозначно связать свой объект с внутренним object type ИРБИС 128 и проверить payload до фактического применения изменений.</w:t>
      </w:r>
    </w:p>
    <w:bookmarkStart w:id="25" w:name="externalid"/>
    <w:p>
      <w:pPr>
        <w:pStyle w:val="Heading3"/>
      </w:pPr>
      <w:r>
        <w:t xml:space="preserve">1. ExternalId</w:t>
      </w:r>
    </w:p>
    <w:p>
      <w:pPr>
        <w:pStyle w:val="FirstParagraph"/>
      </w:pPr>
      <w:r>
        <w:rPr>
          <w:rStyle w:val="VerbatimChar"/>
        </w:rPr>
        <w:t xml:space="preserve">ExternalId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Внешний идентификатор</w:t>
      </w:r>
      <w:r>
        <w:t xml:space="preserve">.</w:t>
      </w:r>
    </w:p>
    <w:p>
      <w:pPr>
        <w:pStyle w:val="BodyText"/>
      </w:pPr>
      <w:r>
        <w:t xml:space="preserve">Связь включает:</w:t>
      </w:r>
    </w:p>
    <w:p>
      <w:pPr>
        <w:pStyle w:val="Compact"/>
        <w:numPr>
          <w:ilvl w:val="0"/>
          <w:numId w:val="1005"/>
        </w:numPr>
      </w:pPr>
      <w:r>
        <w:t xml:space="preserve">внешнюю систему;</w:t>
      </w:r>
    </w:p>
    <w:p>
      <w:pPr>
        <w:pStyle w:val="Compact"/>
        <w:numPr>
          <w:ilvl w:val="0"/>
          <w:numId w:val="1005"/>
        </w:numPr>
      </w:pPr>
      <w:r>
        <w:t xml:space="preserve">ключ</w:t>
      </w:r>
      <w:r>
        <w:t xml:space="preserve"> </w:t>
      </w:r>
      <w:r>
        <w:rPr>
          <w:rStyle w:val="VerbatimChar"/>
        </w:rPr>
        <w:t xml:space="preserve">IntegrationAdapterProfile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внутренний object type;</w:t>
      </w:r>
    </w:p>
    <w:p>
      <w:pPr>
        <w:pStyle w:val="Compact"/>
        <w:numPr>
          <w:ilvl w:val="0"/>
          <w:numId w:val="1005"/>
        </w:numPr>
      </w:pPr>
      <w:r>
        <w:t xml:space="preserve">внешний object type;</w:t>
      </w:r>
    </w:p>
    <w:p>
      <w:pPr>
        <w:pStyle w:val="Compact"/>
        <w:numPr>
          <w:ilvl w:val="0"/>
          <w:numId w:val="1005"/>
        </w:numPr>
      </w:pPr>
      <w:r>
        <w:t xml:space="preserve">внешний идентификатор;</w:t>
      </w:r>
    </w:p>
    <w:p>
      <w:pPr>
        <w:pStyle w:val="Compact"/>
        <w:numPr>
          <w:ilvl w:val="0"/>
          <w:numId w:val="1005"/>
        </w:numPr>
      </w:pPr>
      <w:r>
        <w:t xml:space="preserve">внутренний</w:t>
      </w:r>
      <w:r>
        <w:t xml:space="preserve"> </w:t>
      </w:r>
      <w:r>
        <w:rPr>
          <w:rStyle w:val="VerbatimChar"/>
        </w:rPr>
        <w:t xml:space="preserve">recordKey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recordRef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направление использования;</w:t>
      </w:r>
    </w:p>
    <w:p>
      <w:pPr>
        <w:pStyle w:val="Compact"/>
        <w:numPr>
          <w:ilvl w:val="0"/>
          <w:numId w:val="1005"/>
        </w:numPr>
      </w:pPr>
      <w:r>
        <w:t xml:space="preserve">статус связи;</w:t>
      </w:r>
    </w:p>
    <w:p>
      <w:pPr>
        <w:pStyle w:val="Compact"/>
        <w:numPr>
          <w:ilvl w:val="0"/>
          <w:numId w:val="1005"/>
        </w:numPr>
      </w:pPr>
      <w:r>
        <w:t xml:space="preserve">источник регистрации и даты подтверждения;</w:t>
      </w:r>
    </w:p>
    <w:p>
      <w:pPr>
        <w:pStyle w:val="Compact"/>
        <w:numPr>
          <w:ilvl w:val="0"/>
          <w:numId w:val="1005"/>
        </w:numPr>
      </w:pPr>
      <w:r>
        <w:t xml:space="preserve">правило уникальности.</w:t>
      </w:r>
    </w:p>
    <w:p>
      <w:pPr>
        <w:pStyle w:val="FirstParagraph"/>
      </w:pPr>
      <w:r>
        <w:t xml:space="preserve">Lookup выполняется только в области</w:t>
      </w:r>
      <w:r>
        <w:t xml:space="preserve"> </w:t>
      </w:r>
      <w:r>
        <w:rPr>
          <w:rStyle w:val="VerbatimChar"/>
        </w:rPr>
        <w:t xml:space="preserve">adapterProfileKey + externalSystem + objectType + externalId</w:t>
      </w:r>
      <w:r>
        <w:t xml:space="preserve">. Если в этой области найдено несколько активных связей, API возвращает диагностическую ошибку и не выбирает запись случайно.</w:t>
      </w:r>
    </w:p>
    <w:bookmarkEnd w:id="25"/>
    <w:bookmarkStart w:id="26" w:name="mappingprofile"/>
    <w:p>
      <w:pPr>
        <w:pStyle w:val="Heading3"/>
      </w:pPr>
      <w:r>
        <w:t xml:space="preserve">2. MappingProfile</w:t>
      </w:r>
    </w:p>
    <w:p>
      <w:pPr>
        <w:pStyle w:val="FirstParagraph"/>
      </w:pPr>
      <w:r>
        <w:rPr>
          <w:rStyle w:val="VerbatimChar"/>
        </w:rPr>
        <w:t xml:space="preserve">MappingProfile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Профиль mapping внешней интеграции</w:t>
      </w:r>
      <w:r>
        <w:t xml:space="preserve">.</w:t>
      </w:r>
    </w:p>
    <w:p>
      <w:pPr>
        <w:pStyle w:val="BodyText"/>
      </w:pPr>
      <w:r>
        <w:t xml:space="preserve">Профиль описывает:</w:t>
      </w:r>
    </w:p>
    <w:p>
      <w:pPr>
        <w:pStyle w:val="Compact"/>
        <w:numPr>
          <w:ilvl w:val="0"/>
          <w:numId w:val="1006"/>
        </w:numPr>
      </w:pPr>
      <w:r>
        <w:t xml:space="preserve">связь с</w:t>
      </w:r>
      <w:r>
        <w:t xml:space="preserve"> </w:t>
      </w:r>
      <w:r>
        <w:rPr>
          <w:rStyle w:val="VerbatimChar"/>
        </w:rPr>
        <w:t xml:space="preserve">IntegrationAdapterProfile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APIContract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внутренний object type и внешний object type;</w:t>
      </w:r>
    </w:p>
    <w:p>
      <w:pPr>
        <w:pStyle w:val="Compact"/>
        <w:numPr>
          <w:ilvl w:val="0"/>
          <w:numId w:val="1006"/>
        </w:numPr>
      </w:pPr>
      <w:r>
        <w:t xml:space="preserve">направление mapping;</w:t>
      </w:r>
    </w:p>
    <w:p>
      <w:pPr>
        <w:pStyle w:val="Compact"/>
        <w:numPr>
          <w:ilvl w:val="0"/>
          <w:numId w:val="1006"/>
        </w:numPr>
      </w:pPr>
      <w:r>
        <w:t xml:space="preserve">поле payload, в котором находится external id;</w:t>
      </w:r>
    </w:p>
    <w:p>
      <w:pPr>
        <w:pStyle w:val="Compact"/>
        <w:numPr>
          <w:ilvl w:val="0"/>
          <w:numId w:val="1006"/>
        </w:numPr>
      </w:pPr>
      <w:r>
        <w:t xml:space="preserve">required permissions для проверки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правила mapping полей через stable field keys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правила mapping workflow-статусов и переходов через</w:t>
      </w:r>
      <w:r>
        <w:t xml:space="preserve"> </w:t>
      </w:r>
      <w:r>
        <w:rPr>
          <w:rStyle w:val="VerbatimChar"/>
        </w:rPr>
        <w:t xml:space="preserve">Workflow*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правила resolver-а пользователей и организаций через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правила ссылок на файлы через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.</w:t>
      </w:r>
    </w:p>
    <w:p>
      <w:pPr>
        <w:pStyle w:val="FirstParagraph"/>
      </w:pPr>
      <w:r>
        <w:t xml:space="preserve">В mapping нельзя указывать физические номера полей, подполей, внутренние пути файлов или значения секретов. API хранит только ссылки на владельцев контрактов.</w:t>
      </w:r>
    </w:p>
    <w:bookmarkEnd w:id="26"/>
    <w:bookmarkStart w:id="27" w:name="dry-run"/>
    <w:p>
      <w:pPr>
        <w:pStyle w:val="Heading3"/>
      </w:pPr>
      <w:r>
        <w:t xml:space="preserve">3. Dry-run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API/DryRunMapping</w:t>
      </w:r>
      <w:r>
        <w:t xml:space="preserve"> </w:t>
      </w:r>
      <w:r>
        <w:t xml:space="preserve">принимает payload и mapping context. Она возвращает normalized result, matched ExternalId, proposed changes, required permissions, warnings и errors.</w:t>
      </w:r>
    </w:p>
    <w:p>
      <w:pPr>
        <w:pStyle w:val="BodyText"/>
      </w:pPr>
      <w:r>
        <w:t xml:space="preserve">Dry-run не сохраняет запись, не создает ExternalId, не выполняет workflow-переходы, не запускает post-functions, не отправляет события и не ставит задания в Queue.</w:t>
      </w:r>
    </w:p>
    <w:p>
      <w:pPr>
        <w:pStyle w:val="BodyText"/>
      </w:pPr>
      <w:r>
        <w:t xml:space="preserve">Если интеграции нужна проверка конфликтов, source-of-truth, идемпотентность и стандартный SyncApplyRequest для доменного модуля, используется следующий слой -</w:t>
      </w:r>
      <w:r>
        <w:t xml:space="preserve"> </w:t>
      </w:r>
      <w:r>
        <w:rPr>
          <w:rStyle w:val="VerbatimChar"/>
        </w:rPr>
        <w:t xml:space="preserve">API/DryRunSync</w:t>
      </w:r>
      <w:r>
        <w:t xml:space="preserve"> </w:t>
      </w:r>
      <w:r>
        <w:t xml:space="preserve">и записи</w:t>
      </w:r>
      <w:r>
        <w:t xml:space="preserve"> </w:t>
      </w:r>
      <w:r>
        <w:rPr>
          <w:rStyle w:val="VerbatimChar"/>
        </w:rPr>
        <w:t xml:space="preserve">SyncPolicy</w:t>
      </w:r>
      <w:r>
        <w:t xml:space="preserve">/</w:t>
      </w:r>
      <w:r>
        <w:rPr>
          <w:rStyle w:val="VerbatimChar"/>
        </w:rPr>
        <w:t xml:space="preserve">ConflictPolicy</w:t>
      </w:r>
      <w:r>
        <w:t xml:space="preserve">.</w:t>
      </w:r>
    </w:p>
    <w:bookmarkEnd w:id="27"/>
    <w:bookmarkStart w:id="28" w:name="where-used"/>
    <w:p>
      <w:pPr>
        <w:pStyle w:val="Heading3"/>
      </w:pPr>
      <w:r>
        <w:t xml:space="preserve">4. Where-used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API/GetExternalIdWhereUsed</w:t>
      </w:r>
      <w:r>
        <w:t xml:space="preserve"> </w:t>
      </w:r>
      <w:r>
        <w:t xml:space="preserve">показывает связанные ExternalId, mapping profiles и опубликованные API-методы, которые могут использовать эти настройки. Диагностика не раскрывает закрытые записи, скрытые поля, секреты и персональные данные без прав.</w:t>
      </w:r>
    </w:p>
    <w:bookmarkEnd w:id="28"/>
    <w:bookmarkStart w:id="29" w:name="границы-ответственности-1"/>
    <w:p>
      <w:pPr>
        <w:pStyle w:val="Heading3"/>
      </w:pPr>
      <w:r>
        <w:t xml:space="preserve">5.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владеет реестром ExternalId, mapping profiles, lookup, where-used, dry-run mapping и безопасной диагностикой.</w:t>
      </w:r>
    </w:p>
    <w:p>
      <w:pPr>
        <w:pStyle w:val="BodyText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владеет stable field keys и семантикой полей.</w:t>
      </w:r>
    </w:p>
    <w:p>
      <w:pPr>
        <w:pStyle w:val="BodyText"/>
      </w:pPr>
      <w:r>
        <w:rPr>
          <w:rStyle w:val="VerbatimChar"/>
        </w:rPr>
        <w:t xml:space="preserve">Workflow*</w:t>
      </w:r>
      <w:r>
        <w:t xml:space="preserve"> </w:t>
      </w:r>
      <w:r>
        <w:t xml:space="preserve">владеет workflow-проектами, статусами, переходами и фактическим применением переходов.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правами, grants/denies, masking и безопасными отказами доступа.</w:t>
      </w:r>
    </w:p>
    <w:p>
      <w:pPr>
        <w:pStyle w:val="BodyText"/>
      </w:pPr>
      <w:r>
        <w:rPr>
          <w:rStyle w:val="VerbatimChar"/>
        </w:rPr>
        <w:t xml:space="preserve">Users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 </w:t>
      </w:r>
      <w:r>
        <w:t xml:space="preserve">владеют resolver-ами участников.</w:t>
      </w:r>
    </w:p>
    <w:p>
      <w:pPr>
        <w:pStyle w:val="BodyText"/>
      </w:pPr>
      <w:r>
        <w:rPr>
          <w:rStyle w:val="VerbatimChar"/>
        </w:rPr>
        <w:t xml:space="preserve">FT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 </w:t>
      </w:r>
      <w:r>
        <w:t xml:space="preserve">владеют файлами, staging и постоянным хранением.</w:t>
      </w:r>
    </w:p>
    <w:p>
      <w:pPr>
        <w:pStyle w:val="BodyText"/>
      </w:pPr>
      <w:r>
        <w:t xml:space="preserve">Доменные модули применяют нормализованные изменения к своим записям и проверяют бизнес-правила.</w:t>
      </w:r>
    </w:p>
    <w:bookmarkEnd w:id="29"/>
    <w:bookmarkEnd w:id="30"/>
    <w:bookmarkStart w:id="35" w:name="syncpolicy-и-conflictpolicy"/>
    <w:p>
      <w:pPr>
        <w:pStyle w:val="Heading2"/>
      </w:pPr>
      <w:r>
        <w:t xml:space="preserve">SyncPolicy и ConflictPolicy</w:t>
      </w:r>
    </w:p>
    <w:p>
      <w:pPr>
        <w:pStyle w:val="FirstParagraph"/>
      </w:pPr>
      <w:r>
        <w:rPr>
          <w:rStyle w:val="VerbatimChar"/>
        </w:rPr>
        <w:t xml:space="preserve">SyncPolicy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ConflictPolicy</w:t>
      </w:r>
      <w:r>
        <w:t xml:space="preserve"> </w:t>
      </w:r>
      <w:r>
        <w:t xml:space="preserve">являются настройками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для внешних интеграций, где одного mapping уже недостаточно. Они позволяют объяснимо определить, можно ли применить входящее или исходящее изменение, какие поля конфликтуют, какая policy выбрана и почему результат должен быть отклонен, отложен, передан доменному модулю или отправлен на ручное разрешение.</w:t>
      </w:r>
    </w:p>
    <w:bookmarkStart w:id="31" w:name="syncpolicy"/>
    <w:p>
      <w:pPr>
        <w:pStyle w:val="Heading3"/>
      </w:pPr>
      <w:r>
        <w:t xml:space="preserve">1. SyncPolicy</w:t>
      </w:r>
    </w:p>
    <w:p>
      <w:pPr>
        <w:pStyle w:val="FirstParagraph"/>
      </w:pPr>
      <w:r>
        <w:rPr>
          <w:rStyle w:val="VerbatimChar"/>
        </w:rPr>
        <w:t xml:space="preserve">SyncPolicy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Политика синхронизации</w:t>
      </w:r>
      <w:r>
        <w:t xml:space="preserve">.</w:t>
      </w:r>
    </w:p>
    <w:p>
      <w:pPr>
        <w:pStyle w:val="BodyText"/>
      </w:pPr>
      <w:r>
        <w:t xml:space="preserve">Политика описывает:</w:t>
      </w:r>
    </w:p>
    <w:p>
      <w:pPr>
        <w:pStyle w:val="Compact"/>
        <w:numPr>
          <w:ilvl w:val="0"/>
          <w:numId w:val="1007"/>
        </w:numPr>
      </w:pPr>
      <w:r>
        <w:t xml:space="preserve">профиль внешней интеграции;</w:t>
      </w:r>
    </w:p>
    <w:p>
      <w:pPr>
        <w:pStyle w:val="Compact"/>
        <w:numPr>
          <w:ilvl w:val="0"/>
          <w:numId w:val="1007"/>
        </w:numPr>
      </w:pPr>
      <w:r>
        <w:t xml:space="preserve">APIContract и версию контракта;</w:t>
      </w:r>
    </w:p>
    <w:p>
      <w:pPr>
        <w:pStyle w:val="Compact"/>
        <w:numPr>
          <w:ilvl w:val="0"/>
          <w:numId w:val="1007"/>
        </w:numPr>
      </w:pPr>
      <w:r>
        <w:t xml:space="preserve">MappingProfile для нормализации payload;</w:t>
      </w:r>
    </w:p>
    <w:p>
      <w:pPr>
        <w:pStyle w:val="Compact"/>
        <w:numPr>
          <w:ilvl w:val="0"/>
          <w:numId w:val="1007"/>
        </w:numPr>
      </w:pPr>
      <w:r>
        <w:t xml:space="preserve">внутренний object type;</w:t>
      </w:r>
    </w:p>
    <w:p>
      <w:pPr>
        <w:pStyle w:val="Compact"/>
        <w:numPr>
          <w:ilvl w:val="0"/>
          <w:numId w:val="1007"/>
        </w:numPr>
      </w:pPr>
      <w:r>
        <w:t xml:space="preserve">направление</w:t>
      </w:r>
      <w:r>
        <w:t xml:space="preserve"> </w:t>
      </w:r>
      <w:r>
        <w:rPr>
          <w:rStyle w:val="VerbatimChar"/>
        </w:rPr>
        <w:t xml:space="preserve">inbound</w:t>
      </w:r>
      <w:r>
        <w:t xml:space="preserve">,</w:t>
      </w:r>
      <w:r>
        <w:t xml:space="preserve"> </w:t>
      </w:r>
      <w:r>
        <w:rPr>
          <w:rStyle w:val="VerbatimChar"/>
        </w:rPr>
        <w:t xml:space="preserve">outbound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bidirectional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t xml:space="preserve">source-of-truth policy;</w:t>
      </w:r>
    </w:p>
    <w:p>
      <w:pPr>
        <w:pStyle w:val="Compact"/>
        <w:numPr>
          <w:ilvl w:val="0"/>
          <w:numId w:val="1007"/>
        </w:numPr>
      </w:pPr>
      <w:r>
        <w:t xml:space="preserve">ссылку на ConflictPolicy;</w:t>
      </w:r>
    </w:p>
    <w:p>
      <w:pPr>
        <w:pStyle w:val="Compact"/>
        <w:numPr>
          <w:ilvl w:val="0"/>
          <w:numId w:val="1007"/>
        </w:numPr>
      </w:pPr>
      <w:r>
        <w:t xml:space="preserve">idempotency scope;</w:t>
      </w:r>
    </w:p>
    <w:p>
      <w:pPr>
        <w:pStyle w:val="Compact"/>
        <w:numPr>
          <w:ilvl w:val="0"/>
          <w:numId w:val="1007"/>
        </w:numPr>
      </w:pPr>
      <w:r>
        <w:t xml:space="preserve">обязательность TraceContext;</w:t>
      </w:r>
    </w:p>
    <w:p>
      <w:pPr>
        <w:pStyle w:val="Compact"/>
        <w:numPr>
          <w:ilvl w:val="0"/>
          <w:numId w:val="1007"/>
        </w:numPr>
      </w:pPr>
      <w:r>
        <w:t xml:space="preserve">stale data policy;</w:t>
      </w:r>
    </w:p>
    <w:p>
      <w:pPr>
        <w:pStyle w:val="Compact"/>
        <w:numPr>
          <w:ilvl w:val="0"/>
          <w:numId w:val="1007"/>
        </w:numPr>
      </w:pPr>
      <w:r>
        <w:t xml:space="preserve">retry eligibility;</w:t>
      </w:r>
    </w:p>
    <w:p>
      <w:pPr>
        <w:pStyle w:val="Compact"/>
        <w:numPr>
          <w:ilvl w:val="0"/>
          <w:numId w:val="1007"/>
        </w:numPr>
      </w:pPr>
      <w:r>
        <w:t xml:space="preserve">список разрешенных операций.</w:t>
      </w:r>
    </w:p>
    <w:p>
      <w:pPr>
        <w:pStyle w:val="FirstParagraph"/>
      </w:pPr>
      <w:r>
        <w:t xml:space="preserve">Операция SyncPolicy может быть только contract-уровнем. API строит</w:t>
      </w:r>
      <w:r>
        <w:t xml:space="preserve"> </w:t>
      </w:r>
      <w:r>
        <w:rPr>
          <w:rStyle w:val="VerbatimChar"/>
        </w:rPr>
        <w:t xml:space="preserve">SyncPlan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SyncApplyRequest</w:t>
      </w:r>
      <w:r>
        <w:t xml:space="preserve">, но не сохраняет доменную запись, не выполняет Workflow-переход, не публикует события и не ставит Queue job.</w:t>
      </w:r>
    </w:p>
    <w:bookmarkEnd w:id="31"/>
    <w:bookmarkStart w:id="32" w:name="conflictpolicy"/>
    <w:p>
      <w:pPr>
        <w:pStyle w:val="Heading3"/>
      </w:pPr>
      <w:r>
        <w:t xml:space="preserve">2. ConflictPolicy</w:t>
      </w:r>
    </w:p>
    <w:p>
      <w:pPr>
        <w:pStyle w:val="FirstParagraph"/>
      </w:pPr>
      <w:r>
        <w:rPr>
          <w:rStyle w:val="VerbatimChar"/>
        </w:rPr>
        <w:t xml:space="preserve">ConflictPolicy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Политика разрешения конфликтов</w:t>
      </w:r>
      <w:r>
        <w:t xml:space="preserve">.</w:t>
      </w:r>
    </w:p>
    <w:p>
      <w:pPr>
        <w:pStyle w:val="BodyText"/>
      </w:pPr>
      <w:r>
        <w:t xml:space="preserve">Поддерживаемые стратегии: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reject-with-explanation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internal-wins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external-wins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last-writer-wins</w:t>
      </w:r>
      <w:r>
        <w:t xml:space="preserve"> </w:t>
      </w:r>
      <w:r>
        <w:t xml:space="preserve">только с явной timestamp/version policy;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manual-resolution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field-level-merge</w:t>
      </w:r>
      <w:r>
        <w:t xml:space="preserve">.</w:t>
      </w:r>
    </w:p>
    <w:p>
      <w:pPr>
        <w:pStyle w:val="FirstParagraph"/>
      </w:pPr>
      <w:r>
        <w:t xml:space="preserve">Если policy не задана или неполна, безопасное поведение по умолчанию -</w:t>
      </w:r>
      <w:r>
        <w:t xml:space="preserve"> </w:t>
      </w:r>
      <w:r>
        <w:rPr>
          <w:rStyle w:val="VerbatimChar"/>
        </w:rPr>
        <w:t xml:space="preserve">reject-with-explanation</w:t>
      </w:r>
      <w:r>
        <w:t xml:space="preserve">. Неявное перезаписывание внутреннего или внешнего состояния запрещено.</w:t>
      </w:r>
    </w:p>
    <w:bookmarkEnd w:id="32"/>
    <w:bookmarkStart w:id="33" w:name="dry-run-sync"/>
    <w:p>
      <w:pPr>
        <w:pStyle w:val="Heading3"/>
      </w:pPr>
      <w:r>
        <w:t xml:space="preserve">3. Dry-run sync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API/DryRunSync</w:t>
      </w:r>
      <w:r>
        <w:t xml:space="preserve"> </w:t>
      </w:r>
      <w:r>
        <w:t xml:space="preserve">принимает sync context и payload, вызывает</w:t>
      </w:r>
      <w:r>
        <w:t xml:space="preserve"> </w:t>
      </w:r>
      <w:r>
        <w:rPr>
          <w:rStyle w:val="VerbatimChar"/>
        </w:rPr>
        <w:t xml:space="preserve">API/DryRunMapping</w:t>
      </w:r>
      <w:r>
        <w:t xml:space="preserve">, подбирает SyncPolicy/ConflictPolicy, классифицирует field-level conflicts и возвращает</w:t>
      </w:r>
      <w:r>
        <w:t xml:space="preserve"> </w:t>
      </w:r>
      <w:r>
        <w:rPr>
          <w:rStyle w:val="VerbatimChar"/>
        </w:rPr>
        <w:t xml:space="preserve">SyncPlan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SyncPlan</w:t>
      </w:r>
      <w:r>
        <w:t xml:space="preserve"> </w:t>
      </w:r>
      <w:r>
        <w:t xml:space="preserve">включает:</w:t>
      </w:r>
    </w:p>
    <w:p>
      <w:pPr>
        <w:pStyle w:val="Compact"/>
        <w:numPr>
          <w:ilvl w:val="0"/>
          <w:numId w:val="1009"/>
        </w:numPr>
      </w:pPr>
      <w:r>
        <w:t xml:space="preserve">normalized payload;</w:t>
      </w:r>
    </w:p>
    <w:p>
      <w:pPr>
        <w:pStyle w:val="Compact"/>
        <w:numPr>
          <w:ilvl w:val="0"/>
          <w:numId w:val="1009"/>
        </w:numPr>
      </w:pPr>
      <w:r>
        <w:t xml:space="preserve">найденный ExternalId;</w:t>
      </w:r>
    </w:p>
    <w:p>
      <w:pPr>
        <w:pStyle w:val="Compact"/>
        <w:numPr>
          <w:ilvl w:val="0"/>
          <w:numId w:val="1009"/>
        </w:numPr>
      </w:pPr>
      <w:r>
        <w:t xml:space="preserve">ссылку на внутренний объект;</w:t>
      </w:r>
    </w:p>
    <w:p>
      <w:pPr>
        <w:pStyle w:val="Compact"/>
        <w:numPr>
          <w:ilvl w:val="0"/>
          <w:numId w:val="1009"/>
        </w:numPr>
      </w:pPr>
      <w:r>
        <w:t xml:space="preserve">proposed field changes по stable field keys;</w:t>
      </w:r>
    </w:p>
    <w:p>
      <w:pPr>
        <w:pStyle w:val="Compact"/>
        <w:numPr>
          <w:ilvl w:val="0"/>
          <w:numId w:val="1009"/>
        </w:numPr>
      </w:pPr>
      <w:r>
        <w:t xml:space="preserve">workflow action request без выполнения перехода;</w:t>
      </w:r>
    </w:p>
    <w:p>
      <w:pPr>
        <w:pStyle w:val="Compact"/>
        <w:numPr>
          <w:ilvl w:val="0"/>
          <w:numId w:val="1009"/>
        </w:numPr>
      </w:pPr>
      <w:r>
        <w:t xml:space="preserve">participant/file resolver requests;</w:t>
      </w:r>
    </w:p>
    <w:p>
      <w:pPr>
        <w:pStyle w:val="Compact"/>
        <w:numPr>
          <w:ilvl w:val="0"/>
          <w:numId w:val="1009"/>
        </w:numPr>
      </w:pPr>
      <w:r>
        <w:t xml:space="preserve">conflict classes;</w:t>
      </w:r>
    </w:p>
    <w:p>
      <w:pPr>
        <w:pStyle w:val="Compact"/>
        <w:numPr>
          <w:ilvl w:val="0"/>
          <w:numId w:val="1009"/>
        </w:numPr>
      </w:pPr>
      <w:r>
        <w:t xml:space="preserve">выбранную policy decision;</w:t>
      </w:r>
    </w:p>
    <w:p>
      <w:pPr>
        <w:pStyle w:val="Compact"/>
        <w:numPr>
          <w:ilvl w:val="0"/>
          <w:numId w:val="1009"/>
        </w:numPr>
      </w:pPr>
      <w:r>
        <w:t xml:space="preserve">idempotency fingerprint;</w:t>
      </w:r>
    </w:p>
    <w:p>
      <w:pPr>
        <w:pStyle w:val="Compact"/>
        <w:numPr>
          <w:ilvl w:val="0"/>
          <w:numId w:val="1009"/>
        </w:numPr>
      </w:pPr>
      <w:r>
        <w:t xml:space="preserve">trace metadata;</w:t>
      </w:r>
    </w:p>
    <w:p>
      <w:pPr>
        <w:pStyle w:val="Compact"/>
        <w:numPr>
          <w:ilvl w:val="0"/>
          <w:numId w:val="1009"/>
        </w:numPr>
      </w:pPr>
      <w:r>
        <w:t xml:space="preserve">Security summary;</w:t>
      </w:r>
    </w:p>
    <w:p>
      <w:pPr>
        <w:pStyle w:val="Compact"/>
        <w:numPr>
          <w:ilvl w:val="0"/>
          <w:numId w:val="1009"/>
        </w:numPr>
      </w:pPr>
      <w:r>
        <w:t xml:space="preserve">стандартный</w:t>
      </w:r>
      <w:r>
        <w:t xml:space="preserve"> </w:t>
      </w:r>
      <w:r>
        <w:rPr>
          <w:rStyle w:val="VerbatimChar"/>
        </w:rPr>
        <w:t xml:space="preserve">SyncApplyRequest</w:t>
      </w:r>
      <w:r>
        <w:t xml:space="preserve"> </w:t>
      </w:r>
      <w:r>
        <w:t xml:space="preserve">для доменного модуля.</w:t>
      </w:r>
    </w:p>
    <w:p>
      <w:pPr>
        <w:pStyle w:val="FirstParagraph"/>
      </w:pPr>
      <w:r>
        <w:t xml:space="preserve">Dry-run sync не имеет побочных эффектов.</w:t>
      </w:r>
    </w:p>
    <w:bookmarkEnd w:id="33"/>
    <w:bookmarkStart w:id="34" w:name="границы-ответственности-2"/>
    <w:p>
      <w:pPr>
        <w:pStyle w:val="Heading3"/>
      </w:pPr>
      <w:r>
        <w:t xml:space="preserve">4.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владеет SyncPolicy, ConflictPolicy, dry-run sync, explainable diff, SyncPlan, SyncApplyRequest/SyncApplyResult contract, where-used и API diagnostics.</w:t>
      </w:r>
    </w:p>
    <w:p>
      <w:pPr>
        <w:pStyle w:val="BodyText"/>
      </w:pPr>
      <w:r>
        <w:rPr>
          <w:rStyle w:val="VerbatimChar"/>
        </w:rPr>
        <w:t xml:space="preserve">EventBus</w:t>
      </w:r>
      <w:r>
        <w:t xml:space="preserve"> </w:t>
      </w:r>
      <w:r>
        <w:t xml:space="preserve">владеет событиями, inbox/outbox, delivery, retry и dead-letter доставки.</w:t>
      </w:r>
    </w:p>
    <w:p>
      <w:pPr>
        <w:pStyle w:val="BodyText"/>
      </w:pPr>
      <w:r>
        <w:rPr>
          <w:rStyle w:val="VerbatimChar"/>
        </w:rPr>
        <w:t xml:space="preserve">Queue</w:t>
      </w:r>
      <w:r>
        <w:t xml:space="preserve"> </w:t>
      </w:r>
      <w:r>
        <w:t xml:space="preserve">владеет фоновым выполнением, scheduling, retry/backoff, timeout, worker state и job dead-letter.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правами, grants/denies, masking, field security и безопасными отказами доступа.</w:t>
      </w:r>
    </w:p>
    <w:p>
      <w:pPr>
        <w:pStyle w:val="BodyText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владеет stable field keys и семантикой полей.</w:t>
      </w:r>
    </w:p>
    <w:p>
      <w:pPr>
        <w:pStyle w:val="BodyText"/>
      </w:pPr>
      <w:r>
        <w:rPr>
          <w:rStyle w:val="VerbatimChar"/>
        </w:rPr>
        <w:t xml:space="preserve">Workflow*</w:t>
      </w:r>
      <w:r>
        <w:t xml:space="preserve"> </w:t>
      </w:r>
      <w:r>
        <w:t xml:space="preserve">владеет workflow-проектами, статусами, переходами и доступностью workflow-действий.</w:t>
      </w:r>
    </w:p>
    <w:p>
      <w:pPr>
        <w:pStyle w:val="BodyText"/>
      </w:pPr>
      <w:r>
        <w:t xml:space="preserve">Доменные модули применяют</w:t>
      </w:r>
      <w:r>
        <w:t xml:space="preserve"> </w:t>
      </w:r>
      <w:r>
        <w:rPr>
          <w:rStyle w:val="VerbatimChar"/>
        </w:rPr>
        <w:t xml:space="preserve">SyncApplyRequest</w:t>
      </w:r>
      <w:r>
        <w:t xml:space="preserve">, сохраняют записи, выполняют бизнес-валидацию и возвращают</w:t>
      </w:r>
      <w:r>
        <w:t xml:space="preserve"> </w:t>
      </w:r>
      <w:r>
        <w:rPr>
          <w:rStyle w:val="VerbatimChar"/>
        </w:rPr>
        <w:t xml:space="preserve">SyncApplyResult</w:t>
      </w:r>
      <w:r>
        <w:t xml:space="preserve">.</w:t>
      </w:r>
    </w:p>
    <w:bookmarkEnd w:id="34"/>
    <w:bookmarkEnd w:id="35"/>
    <w:bookmarkStart w:id="105" w:name="json-rpc-api-модуля-api"/>
    <w:p>
      <w:pPr>
        <w:pStyle w:val="Heading2"/>
      </w:pPr>
      <w:r>
        <w:t xml:space="preserve">JSON-RPC API модуля API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публикует методы JSON-RPC 2.0 через общую точку входа</w:t>
      </w:r>
      <w:r>
        <w:t xml:space="preserve"> </w:t>
      </w:r>
      <w:r>
        <w:rPr>
          <w:rStyle w:val="VerbatimChar"/>
        </w:rPr>
        <w:t xml:space="preserve">JSONRPC.php?i128Module=API</w:t>
      </w:r>
      <w:r>
        <w:t xml:space="preserve">. Запрос принимает инфраструктурный модуль</w:t>
      </w:r>
      <w:r>
        <w:t xml:space="preserve"> </w:t>
      </w:r>
      <w:r>
        <w:rPr>
          <w:rStyle w:val="VerbatimChar"/>
        </w:rPr>
        <w:t xml:space="preserve">JSONRPC</w:t>
      </w:r>
      <w:r>
        <w:t xml:space="preserve">, после чего вызов передается серверу</w:t>
      </w:r>
      <w:r>
        <w:t xml:space="preserve"> </w:t>
      </w:r>
      <w:r>
        <w:rPr>
          <w:rStyle w:val="VerbatimChar"/>
        </w:rPr>
        <w:t xml:space="preserve">API_JSONRPCServer</w:t>
      </w:r>
      <w:r>
        <w:t xml:space="preserve">.</w:t>
      </w:r>
    </w:p>
    <w:p>
      <w:pPr>
        <w:pStyle w:val="BodyText"/>
      </w:pPr>
      <w:r>
        <w:t xml:space="preserve">URL подключения:</w:t>
      </w:r>
    </w:p>
    <w:p>
      <w:pPr>
        <w:pStyle w:val="SourceCode"/>
      </w:pPr>
      <w:r>
        <w:rPr>
          <w:rStyle w:val="VerbatimChar"/>
        </w:rPr>
        <w:t xml:space="preserve">https://example.org/JSONRPC.php?i128Module=API</w:t>
      </w:r>
    </w:p>
    <w:p>
      <w:pPr>
        <w:pStyle w:val="FirstParagraph"/>
      </w:pPr>
      <w:r>
        <w:t xml:space="preserve">В адресе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 </w:t>
      </w:r>
      <w:r>
        <w:t xml:space="preserve">нужно указать адрес сервера ИРБИС 128. Спецификация протокола JSON-RPC 2.0 опубликована на сайте JSON-RPC: https://www.jsonrpc.org/specification.</w:t>
      </w:r>
    </w:p>
    <w:p>
      <w:pPr>
        <w:pStyle w:val="BodyText"/>
      </w:pPr>
      <w:r>
        <w:t xml:space="preserve">Для совместимого сервера модуля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 </w:t>
      </w:r>
      <w:r>
        <w:t xml:space="preserve">используется</w:t>
      </w:r>
      <w:r>
        <w:t xml:space="preserve"> </w:t>
      </w:r>
      <w:r>
        <w:rPr>
          <w:rStyle w:val="VerbatimChar"/>
        </w:rPr>
        <w:t xml:space="preserve">/JSONRPC.php?i128Module=Bitrix24</w:t>
      </w:r>
      <w:r>
        <w:t xml:space="preserve">; набор функций почти совпадает, а метод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 </w:t>
      </w:r>
      <w:r>
        <w:t xml:space="preserve">доступен именно через сервер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.</w:t>
      </w:r>
    </w:p>
    <w:p>
      <w:pPr>
        <w:pStyle w:val="BodyText"/>
      </w:pPr>
      <w:r>
        <w:t xml:space="preserve">Вы можете</w:t>
      </w:r>
      <w:r>
        <w:t xml:space="preserve"> </w:t>
      </w:r>
      <w:hyperlink r:id="rId36">
        <w:r>
          <w:rPr>
            <w:rStyle w:val="Hyperlink"/>
          </w:rPr>
          <w:t xml:space="preserve">скачать</w:t>
        </w:r>
      </w:hyperlink>
      <w:r>
        <w:t xml:space="preserve"> </w:t>
      </w:r>
      <w:r>
        <w:t xml:space="preserve">пример клиентской библиотеки для вызова функций на языке PHP.</w:t>
      </w:r>
    </w:p>
    <w:bookmarkStart w:id="41" w:name="функция-getuseruser_id"/>
    <w:p>
      <w:pPr>
        <w:pStyle w:val="Heading3"/>
      </w:pPr>
      <w:r>
        <w:t xml:space="preserve">Функция GetUser($user_id)</w:t>
      </w:r>
    </w:p>
    <w:bookmarkStart w:id="37" w:name="описание-функции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информации о пользователе системы по его идентификатору. В случае если установлен параметр</w:t>
      </w:r>
      <w:r>
        <w:t xml:space="preserve"> </w:t>
      </w:r>
      <w:r>
        <w:t xml:space="preserve">“Разрешить создание записи пользователя в БД RDR при успешной аутентификации в Active Directory?”</w:t>
      </w:r>
      <w:r>
        <w:t xml:space="preserve"> </w:t>
      </w:r>
      <w:r>
        <w:t xml:space="preserve">модуля</w:t>
      </w:r>
      <w:r>
        <w:t xml:space="preserve"> </w:t>
      </w:r>
      <w:r>
        <w:t xml:space="preserve">“Авторизация пользователя”</w:t>
      </w:r>
      <w:r>
        <w:t xml:space="preserve"> </w:t>
      </w:r>
      <w:r>
        <w:t xml:space="preserve">- при наличии соответствующей учетной записи в LDAP, будет создана (обновлена) соответствующая запись в БД пользователей.</w:t>
      </w:r>
    </w:p>
    <w:bookmarkEnd w:id="37"/>
    <w:bookmarkStart w:id="38" w:name="параметры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334"/>
        <w:gridCol w:w="1250"/>
        <w:gridCol w:w="333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 для поиска по БД пользователей, определенной в настройке</w:t>
            </w:r>
            <w:r>
              <w:t xml:space="preserve"> </w:t>
            </w:r>
            <w:r>
              <w:t xml:space="preserve">“Имя БД пользователей”</w:t>
            </w:r>
            <w:r>
              <w:t xml:space="preserve"> </w:t>
            </w:r>
            <w:r>
              <w:t xml:space="preserve">в основных настройках системы, префикс для поиска: RI=</w:t>
            </w:r>
          </w:p>
        </w:tc>
      </w:tr>
    </w:tbl>
    <w:bookmarkEnd w:id="38"/>
    <w:bookmarkStart w:id="39" w:name="возвращаемые-значения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массив, описывающий запись пользователя</w:t>
      </w:r>
    </w:p>
    <w:bookmarkEnd w:id="39"/>
    <w:bookmarkStart w:id="40" w:name="исключения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GetUser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485"/>
        <w:gridCol w:w="2475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Пустой идентификатор пользователя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качестве параметра $user_id передана пустая строка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Пользователь не найден</w:t>
            </w:r>
          </w:p>
        </w:tc>
        <w:tc>
          <w:tcPr/>
          <w:p>
            <w:pPr>
              <w:pStyle w:val="Compact"/>
            </w:pPr>
            <w:r>
              <w:t xml:space="preserve">Возникает если поиск по БД Пользователей вернул пустой результат и параметр</w:t>
            </w:r>
            <w:r>
              <w:t xml:space="preserve"> </w:t>
            </w:r>
            <w:r>
              <w:t xml:space="preserve">“Разрешить создание записи пользователя в БД RDR при успешной аутентификации в Active Directory?”</w:t>
            </w:r>
            <w:r>
              <w:t xml:space="preserve"> </w:t>
            </w:r>
            <w:r>
              <w:t xml:space="preserve">модуля</w:t>
            </w:r>
            <w:r>
              <w:t xml:space="preserve"> </w:t>
            </w:r>
            <w:r>
              <w:t xml:space="preserve">“Авторизация пользователя”</w:t>
            </w:r>
            <w:r>
              <w:t xml:space="preserve"> </w:t>
            </w:r>
            <w:r>
              <w:t xml:space="preserve">установлен в</w:t>
            </w:r>
            <w:r>
              <w:t xml:space="preserve"> </w:t>
            </w:r>
            <w:r>
              <w:t xml:space="preserve">“Нет”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удалось открыть БД читателей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не удалось открыть БД пользователей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Сообщение об ошибке подсистемы авторизации LDAP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 неуспешной попытке авторизации по LDAP</w:t>
            </w:r>
          </w:p>
        </w:tc>
      </w:tr>
    </w:tbl>
    <w:bookmarkEnd w:id="40"/>
    <w:bookmarkEnd w:id="41"/>
    <w:bookmarkStart w:id="46" w:name="X981cde75908b2eecb75c3db9cf34bbecbc4b87a"/>
    <w:p>
      <w:pPr>
        <w:pStyle w:val="Heading3"/>
      </w:pPr>
      <w:r>
        <w:t xml:space="preserve">Функция AddUser($user_id = ’’, $user_rec_array = array())</w:t>
      </w:r>
    </w:p>
    <w:bookmarkStart w:id="42" w:name="описание-функции-1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добавления нового пользователя. В поле 30 записи устанавливается переданный идентификатор пользователя.</w:t>
      </w:r>
    </w:p>
    <w:bookmarkEnd w:id="42"/>
    <w:bookmarkStart w:id="43" w:name="параметры-1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AddUser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user_rec_array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Массив, описывающий запись пользователя</w:t>
            </w:r>
          </w:p>
        </w:tc>
      </w:tr>
    </w:tbl>
    <w:bookmarkEnd w:id="43"/>
    <w:bookmarkStart w:id="44" w:name="возвращаемые-значения-1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44"/>
    <w:bookmarkStart w:id="45" w:name="исключения-1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AddUser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-20</w:t>
            </w:r>
          </w:p>
        </w:tc>
        <w:tc>
          <w:tcPr/>
          <w:p>
            <w:pPr>
              <w:pStyle w:val="Compact"/>
            </w:pPr>
            <w:r>
              <w:t xml:space="preserve">Пользователь с указанным идентификатором уже существует. Создание новой записи невозможно. Удалите или редактируйте имеющуюся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качестве параметра $user_id передан идентификатор, существующий в БД пользователей.</w:t>
            </w:r>
          </w:p>
        </w:tc>
      </w:tr>
    </w:tbl>
    <w:bookmarkEnd w:id="45"/>
    <w:bookmarkEnd w:id="46"/>
    <w:bookmarkStart w:id="51" w:name="функция-deluseruser_id"/>
    <w:p>
      <w:pPr>
        <w:pStyle w:val="Heading3"/>
      </w:pPr>
      <w:r>
        <w:t xml:space="preserve">Функция DelUser($user_id = ’’)</w:t>
      </w:r>
    </w:p>
    <w:bookmarkStart w:id="47" w:name="описание-функции-2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удаляет пользователя по идентификатору читателя. Сервер находит запись пользователя в базе читателей и передает ее MFN в операцию удаления записи.</w:t>
      </w:r>
    </w:p>
    <w:bookmarkEnd w:id="47"/>
    <w:bookmarkStart w:id="48" w:name="параметры-2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DelUser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48"/>
    <w:bookmarkStart w:id="49" w:name="возвращаемые-значения-2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Возвращается результат операции удаления записи:</w:t>
      </w:r>
    </w:p>
    <w:p>
      <w:pPr>
        <w:pStyle w:val="BodyText"/>
      </w:pPr>
      <w:r>
        <w:t xml:space="preserve">Таблица 2. Возвращаемые значения функции DelUser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Удаление завершено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t xml:space="preserve">База читателей недоступна.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-140</w:t>
            </w:r>
          </w:p>
        </w:tc>
        <w:tc>
          <w:tcPr/>
          <w:p>
            <w:pPr>
              <w:pStyle w:val="Compact"/>
            </w:pPr>
            <w:r>
              <w:t xml:space="preserve">Пользователь с указанным идентификатором не найден.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другое отрицательное число</w:t>
            </w:r>
          </w:p>
        </w:tc>
        <w:tc>
          <w:tcPr/>
          <w:p>
            <w:pPr>
              <w:pStyle w:val="Compact"/>
            </w:pPr>
            <w:r>
              <w:t xml:space="preserve">Код ошибки, возвращенный провайдером данных при удалении записи.</w:t>
            </w:r>
          </w:p>
        </w:tc>
      </w:tr>
    </w:tbl>
    <w:bookmarkEnd w:id="49"/>
    <w:bookmarkStart w:id="50" w:name="исключения-2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Функция возвращает коды ошибок и не формирует отдельные исключения JSON-RPC для штатных отказов удаления пользователя.</w:t>
      </w:r>
    </w:p>
    <w:bookmarkEnd w:id="50"/>
    <w:bookmarkEnd w:id="51"/>
    <w:bookmarkStart w:id="55" w:name="X458831fea5ac7cbb1a73ac869bf4d8fe6a9abc2"/>
    <w:p>
      <w:pPr>
        <w:pStyle w:val="Heading3"/>
      </w:pPr>
      <w:r>
        <w:t xml:space="preserve">Функция UpdateUser($user_id = ’’, $user_rec_array = array())</w:t>
      </w:r>
    </w:p>
    <w:bookmarkStart w:id="52" w:name="описание-функции-3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обновления информации о существующем пользователе.</w:t>
      </w:r>
    </w:p>
    <w:bookmarkEnd w:id="52"/>
    <w:bookmarkStart w:id="53" w:name="параметры-3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UpdateUser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user_rec_array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Массив, описывающий запись пользователя</w:t>
            </w:r>
          </w:p>
        </w:tc>
      </w:tr>
    </w:tbl>
    <w:bookmarkEnd w:id="53"/>
    <w:bookmarkStart w:id="54" w:name="исключения-3"/>
    <w:p>
      <w:pPr>
        <w:pStyle w:val="Heading4"/>
      </w:pPr>
      <w:r>
        <w:t xml:space="preserve">3. Исключения</w:t>
      </w:r>
    </w:p>
    <w:p>
      <w:pPr>
        <w:pStyle w:val="FirstParagraph"/>
      </w:pPr>
      <w:r>
        <w:t xml:space="preserve">Отсутствуют.</w:t>
      </w:r>
    </w:p>
    <w:bookmarkEnd w:id="54"/>
    <w:bookmarkEnd w:id="55"/>
    <w:bookmarkStart w:id="60" w:name="функция-userformularuser_id"/>
    <w:p>
      <w:pPr>
        <w:pStyle w:val="Heading3"/>
      </w:pPr>
      <w:r>
        <w:t xml:space="preserve">Функция UserFormular($user_id)</w:t>
      </w:r>
    </w:p>
    <w:bookmarkStart w:id="56" w:name="описание-функции-4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добавления нового пользователя.</w:t>
      </w:r>
    </w:p>
    <w:bookmarkEnd w:id="56"/>
    <w:bookmarkStart w:id="57" w:name="параметры-4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UserFormular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57"/>
    <w:bookmarkStart w:id="58" w:name="возвращаемые-значения-3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Массов ассоциативных массив с описанием строки формуляра в виде:</w:t>
      </w:r>
    </w:p>
    <w:p>
      <w:pPr>
        <w:pStyle w:val="Compact"/>
        <w:numPr>
          <w:ilvl w:val="0"/>
          <w:numId w:val="1010"/>
        </w:numPr>
      </w:pPr>
      <w:r>
        <w:t xml:space="preserve">‘record_id’</w:t>
      </w:r>
      <w:r>
        <w:t xml:space="preserve"> </w:t>
      </w:r>
      <w:r>
        <w:t xml:space="preserve">=&gt; идентификатор пользователя</w:t>
      </w:r>
    </w:p>
    <w:p>
      <w:pPr>
        <w:pStyle w:val="Compact"/>
        <w:numPr>
          <w:ilvl w:val="0"/>
          <w:numId w:val="1010"/>
        </w:numPr>
      </w:pPr>
      <w:r>
        <w:t xml:space="preserve">‘db’</w:t>
      </w:r>
      <w:r>
        <w:t xml:space="preserve"> </w:t>
      </w:r>
      <w:r>
        <w:t xml:space="preserve">=&gt; Имя БД из которой получен экземпляр издания</w:t>
      </w:r>
    </w:p>
    <w:p>
      <w:pPr>
        <w:pStyle w:val="Compact"/>
        <w:numPr>
          <w:ilvl w:val="0"/>
          <w:numId w:val="1010"/>
        </w:numPr>
      </w:pPr>
      <w:r>
        <w:t xml:space="preserve">‘bo’</w:t>
      </w:r>
      <w:r>
        <w:t xml:space="preserve"> </w:t>
      </w:r>
      <w:r>
        <w:t xml:space="preserve">=&gt; Краткое библиографическое описание издания (в формате brief)</w:t>
      </w:r>
    </w:p>
    <w:p>
      <w:pPr>
        <w:pStyle w:val="Compact"/>
        <w:numPr>
          <w:ilvl w:val="0"/>
          <w:numId w:val="1010"/>
        </w:numPr>
      </w:pPr>
      <w:r>
        <w:t xml:space="preserve">‘need_return_date’</w:t>
      </w:r>
      <w:r>
        <w:t xml:space="preserve"> </w:t>
      </w:r>
      <w:r>
        <w:t xml:space="preserve">=&gt; Дата предполагаемого возврата</w:t>
      </w:r>
    </w:p>
    <w:p>
      <w:pPr>
        <w:pStyle w:val="Compact"/>
        <w:numPr>
          <w:ilvl w:val="0"/>
          <w:numId w:val="1010"/>
        </w:numPr>
      </w:pPr>
      <w:r>
        <w:t xml:space="preserve">‘issue_date’</w:t>
      </w:r>
      <w:r>
        <w:t xml:space="preserve"> </w:t>
      </w:r>
      <w:r>
        <w:t xml:space="preserve">=&gt; Дата выдачи</w:t>
      </w:r>
    </w:p>
    <w:p>
      <w:pPr>
        <w:pStyle w:val="Compact"/>
        <w:numPr>
          <w:ilvl w:val="0"/>
          <w:numId w:val="1010"/>
        </w:numPr>
      </w:pPr>
      <w:r>
        <w:t xml:space="preserve">‘barcode_rfid’</w:t>
      </w:r>
      <w:r>
        <w:t xml:space="preserve"> </w:t>
      </w:r>
      <w:r>
        <w:t xml:space="preserve">=&gt; Штрих-код или RFID метка экземпляра издания</w:t>
      </w:r>
    </w:p>
    <w:p>
      <w:pPr>
        <w:pStyle w:val="Compact"/>
        <w:numPr>
          <w:ilvl w:val="0"/>
          <w:numId w:val="1010"/>
        </w:numPr>
      </w:pPr>
      <w:r>
        <w:t xml:space="preserve">‘inventory’</w:t>
      </w:r>
      <w:r>
        <w:t xml:space="preserve"> </w:t>
      </w:r>
      <w:r>
        <w:t xml:space="preserve">=&gt; Инвентарный номер экземпляра издания</w:t>
      </w:r>
    </w:p>
    <w:p>
      <w:pPr>
        <w:pStyle w:val="Compact"/>
        <w:numPr>
          <w:ilvl w:val="0"/>
          <w:numId w:val="1010"/>
        </w:numPr>
      </w:pPr>
      <w:r>
        <w:t xml:space="preserve">‘place_of_issue’</w:t>
      </w:r>
      <w:r>
        <w:t xml:space="preserve"> </w:t>
      </w:r>
      <w:r>
        <w:t xml:space="preserve">=&gt; Место выдачи издания</w:t>
      </w:r>
    </w:p>
    <w:p>
      <w:pPr>
        <w:pStyle w:val="Compact"/>
        <w:numPr>
          <w:ilvl w:val="0"/>
          <w:numId w:val="1010"/>
        </w:numPr>
      </w:pPr>
      <w:r>
        <w:t xml:space="preserve">‘place_of_store’</w:t>
      </w:r>
      <w:r>
        <w:t xml:space="preserve"> </w:t>
      </w:r>
      <w:r>
        <w:t xml:space="preserve">=&gt; Место хранения экземпляра издания</w:t>
      </w:r>
    </w:p>
    <w:p>
      <w:pPr>
        <w:pStyle w:val="Compact"/>
        <w:numPr>
          <w:ilvl w:val="0"/>
          <w:numId w:val="1010"/>
        </w:numPr>
      </w:pPr>
      <w:r>
        <w:t xml:space="preserve">‘responsible_face’</w:t>
      </w:r>
      <w:r>
        <w:t xml:space="preserve"> </w:t>
      </w:r>
      <w:r>
        <w:t xml:space="preserve">=&gt; Ответственное лицо</w:t>
      </w:r>
    </w:p>
    <w:p>
      <w:pPr>
        <w:pStyle w:val="FirstParagraph"/>
      </w:pPr>
      <w:r>
        <w:t xml:space="preserve">В случае, если записи формуляра отсутствуют – будет возвращен пустой массив. Функция возвращает только информацию, о выданных в настоящий момент изданиях.</w:t>
      </w:r>
    </w:p>
    <w:bookmarkEnd w:id="58"/>
    <w:bookmarkStart w:id="59" w:name="исключения-4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Отсутствуют.</w:t>
      </w:r>
    </w:p>
    <w:bookmarkEnd w:id="59"/>
    <w:bookmarkEnd w:id="60"/>
    <w:bookmarkStart w:id="65" w:name="X41defcd0e83059f2cb5e0946043d77695248e23"/>
    <w:p>
      <w:pPr>
        <w:pStyle w:val="Heading3"/>
      </w:pPr>
      <w:r>
        <w:t xml:space="preserve">Функция MakeOrder($user_id, $dbn, $record_id, $place_of_issue = ’’)</w:t>
      </w:r>
    </w:p>
    <w:bookmarkStart w:id="61" w:name="описание-функции-5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создания заказа на издание по месту выдачи.</w:t>
      </w:r>
    </w:p>
    <w:bookmarkEnd w:id="61"/>
    <w:bookmarkStart w:id="62" w:name="параметры-5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MakeOrder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БД, в которой хранится запись на издание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r</m:t>
              </m:r>
              <m:r>
                <m:t>e</m:t>
              </m:r>
              <m:r>
                <m:t>c</m:t>
              </m:r>
              <m:r>
                <m:t>o</m:t>
              </m:r>
              <m:r>
                <m:t>r</m:t>
              </m:r>
              <m:sSub>
                <m:e>
                  <m:r>
                    <m:t>d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Ш</m:t>
              </m:r>
              <m:r>
                <m:t>и</m:t>
              </m:r>
              <m:r>
                <m:t>ф</m:t>
              </m:r>
              <m:r>
                <m:t>р</m:t>
              </m:r>
              <m:r>
                <m:t>з</m:t>
              </m:r>
              <m:r>
                <m:t>а</m:t>
              </m:r>
              <m:r>
                <m:t>к</m:t>
              </m:r>
              <m:r>
                <m:t>а</m:t>
              </m:r>
              <m:r>
                <m:t>з</m:t>
              </m:r>
              <m:r>
                <m:t>ы</m:t>
              </m:r>
              <m:r>
                <m:t>в</m:t>
              </m:r>
              <m:r>
                <m:t>а</m:t>
              </m:r>
              <m:r>
                <m:t>е</m:t>
              </m:r>
              <m:r>
                <m:t>м</m:t>
              </m:r>
              <m:r>
                <m:t>о</m:t>
              </m:r>
              <m:r>
                <m:t>г</m:t>
              </m:r>
              <m:r>
                <m:t>о</m:t>
              </m:r>
              <m:r>
                <m:t>д</m:t>
              </m:r>
              <m:r>
                <m:t>о</m:t>
              </m:r>
              <m:r>
                <m:t>к</m:t>
              </m:r>
              <m:r>
                <m:t>у</m:t>
              </m:r>
              <m:r>
                <m:t>м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а</m:t>
              </m:r>
              <m:r>
                <m:rPr>
                  <m:sty m:val="p"/>
                </m:rPr>
                <m:t>(</m:t>
              </m:r>
              <m:r>
                <m:t>о</m:t>
              </m:r>
              <m:r>
                <m:t>б</m:t>
              </m:r>
              <m:r>
                <m:t>ы</m:t>
              </m:r>
              <m:r>
                <m:t>ч</m:t>
              </m:r>
              <m:r>
                <m:t>н</m:t>
              </m:r>
              <m:r>
                <m:t>о</m:t>
              </m:r>
              <m:r>
                <m:rPr>
                  <m:sty m:val="p"/>
                </m:rPr>
                <m:t>–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е</m:t>
              </m:r>
              <m:r>
                <m:t>903</m:t>
              </m:r>
              <m:r>
                <m:t>б</m:t>
              </m:r>
              <m:r>
                <m:t>и</m:t>
              </m:r>
              <m:r>
                <m:t>б</m:t>
              </m:r>
              <m:r>
                <m:t>л</m:t>
              </m:r>
              <m:r>
                <m:t>и</m:t>
              </m:r>
              <m:r>
                <m:t>о</m:t>
              </m:r>
              <m:r>
                <m:t>г</m:t>
              </m:r>
              <m:r>
                <m:t>р</m:t>
              </m:r>
              <m:r>
                <m:t>а</m:t>
              </m:r>
              <m:r>
                <m:t>ф</m:t>
              </m:r>
              <m:r>
                <m:t>и</m:t>
              </m:r>
              <m:r>
                <m:t>ч</m:t>
              </m:r>
              <m:r>
                <m:t>е</m:t>
              </m:r>
              <m:r>
                <m:t>с</m:t>
              </m:r>
              <m:r>
                <m:t>к</m:t>
              </m:r>
              <m:r>
                <m:t>о</m:t>
              </m:r>
              <m:r>
                <m:t>й</m:t>
              </m:r>
              <m:r>
                <m:t>з</m:t>
              </m:r>
              <m:r>
                <m:t>а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и</m:t>
              </m:r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|</m:t>
              </m:r>
            </m:oMath>
            <w:r>
              <w:t xml:space="preserve">place_of_issue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Код места выдачи, в котором пользователь желает получить заказываемое издание</w:t>
            </w:r>
          </w:p>
        </w:tc>
      </w:tr>
    </w:tbl>
    <w:bookmarkEnd w:id="62"/>
    <w:bookmarkStart w:id="63" w:name="возвращаемые-значения-4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63"/>
    <w:bookmarkStart w:id="64" w:name="исключения-5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MakeOrder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удалось открыть БД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Произошла ошибка при открытии БД каталога, в котором хранится запись издания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найдена запись пользователя</w:t>
            </w:r>
          </w:p>
        </w:tc>
        <w:tc>
          <w:tcPr/>
          <w:p>
            <w:pPr>
              <w:pStyle w:val="Compact"/>
            </w:pPr>
            <w:r>
              <w:t xml:space="preserve">Попытка поиска пользователя по указанному идентификатору вернула пустой результат</w:t>
            </w:r>
          </w:p>
        </w:tc>
      </w:tr>
      <w:tr>
        <w:tc>
          <w:tcPr/>
          <w:p>
            <w:pPr>
              <w:pStyle w:val="Compact"/>
            </w:pPr>
            <w:r>
              <w:t xml:space="preserve">-3</w:t>
            </w:r>
          </w:p>
        </w:tc>
        <w:tc>
          <w:tcPr/>
          <w:p>
            <w:pPr>
              <w:pStyle w:val="Compact"/>
            </w:pPr>
            <w:r>
              <w:t xml:space="preserve">Ошибочный идентификатор записи, запись не найдена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шифру издания в БД каталога не нашлось соответствующей записи</w:t>
            </w:r>
          </w:p>
        </w:tc>
      </w:tr>
    </w:tbl>
    <w:bookmarkEnd w:id="64"/>
    <w:bookmarkEnd w:id="65"/>
    <w:bookmarkStart w:id="70" w:name="функция-deleteorderuser_id-record_id"/>
    <w:p>
      <w:pPr>
        <w:pStyle w:val="Heading3"/>
      </w:pPr>
      <w:r>
        <w:t xml:space="preserve">Функция DeleteOrder($user_id, $record_id)</w:t>
      </w:r>
    </w:p>
    <w:bookmarkStart w:id="66" w:name="описание-функции-6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удаления существующего заказа на издание.</w:t>
      </w:r>
    </w:p>
    <w:bookmarkEnd w:id="66"/>
    <w:bookmarkStart w:id="67" w:name="параметры-6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DeleteOrder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|</m:t>
              </m:r>
            </m:oMath>
            <w: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Шифр заказываемого документа (обычно – поле 903 библиографической записи)</w:t>
            </w:r>
          </w:p>
        </w:tc>
      </w:tr>
    </w:tbl>
    <w:bookmarkEnd w:id="67"/>
    <w:bookmarkStart w:id="68" w:name="возвращаемые-значения-5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68"/>
    <w:bookmarkStart w:id="69" w:name="исключения-6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DeleteOrder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-23</w:t>
            </w:r>
          </w:p>
        </w:tc>
        <w:tc>
          <w:tcPr/>
          <w:p>
            <w:pPr>
              <w:pStyle w:val="Compact"/>
            </w:pPr>
            <w:r>
              <w:t xml:space="preserve">Заказ не найден. Убедитесь, что он не был удалён ранее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у читателя не найдено соответствующее издание в формуляре</w:t>
            </w:r>
          </w:p>
        </w:tc>
      </w:tr>
    </w:tbl>
    <w:bookmarkEnd w:id="69"/>
    <w:bookmarkEnd w:id="70"/>
    <w:bookmarkStart w:id="75" w:name="функция-getordersuser_id"/>
    <w:p>
      <w:pPr>
        <w:pStyle w:val="Heading3"/>
      </w:pPr>
      <w:r>
        <w:t xml:space="preserve">Функция GetOrders($user_id)</w:t>
      </w:r>
    </w:p>
    <w:bookmarkStart w:id="71" w:name="описание-функции-7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информации о списке заказов пользователя.</w:t>
      </w:r>
    </w:p>
    <w:bookmarkEnd w:id="71"/>
    <w:bookmarkStart w:id="72" w:name="параметры-7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GetOrders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72"/>
    <w:bookmarkStart w:id="73" w:name="возвращаемые-значения-6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 ассоциативных массивов с информацией о заказах пользователя.</w:t>
      </w:r>
    </w:p>
    <w:p>
      <w:pPr>
        <w:pStyle w:val="Compact"/>
        <w:numPr>
          <w:ilvl w:val="0"/>
          <w:numId w:val="1011"/>
        </w:numPr>
      </w:pPr>
      <w:r>
        <w:t xml:space="preserve">‘db’</w:t>
      </w:r>
      <w:r>
        <w:t xml:space="preserve"> </w:t>
      </w:r>
      <w:r>
        <w:t xml:space="preserve">=&gt; Имя БД, в которой хранится запись на издание</w:t>
      </w:r>
    </w:p>
    <w:p>
      <w:pPr>
        <w:pStyle w:val="Compact"/>
        <w:numPr>
          <w:ilvl w:val="0"/>
          <w:numId w:val="1011"/>
        </w:numPr>
      </w:pPr>
      <w:r>
        <w:t xml:space="preserve">‘record_id’</w:t>
      </w:r>
      <w:r>
        <w:t xml:space="preserve"> </w:t>
      </w:r>
      <w:r>
        <w:t xml:space="preserve">=&gt; шифр документа записи на издание (обычно, 903 поле)</w:t>
      </w:r>
    </w:p>
    <w:p>
      <w:pPr>
        <w:pStyle w:val="Compact"/>
        <w:numPr>
          <w:ilvl w:val="0"/>
          <w:numId w:val="1011"/>
        </w:numPr>
      </w:pPr>
      <w:r>
        <w:t xml:space="preserve">‘user_id’</w:t>
      </w:r>
      <w:r>
        <w:t xml:space="preserve"> </w:t>
      </w:r>
      <w:r>
        <w:t xml:space="preserve">=&gt; Идентификатор пользователя</w:t>
      </w:r>
    </w:p>
    <w:p>
      <w:pPr>
        <w:pStyle w:val="Compact"/>
        <w:numPr>
          <w:ilvl w:val="0"/>
          <w:numId w:val="1011"/>
        </w:numPr>
      </w:pPr>
      <w:r>
        <w:t xml:space="preserve">‘bibliography’</w:t>
      </w:r>
      <w:r>
        <w:t xml:space="preserve"> </w:t>
      </w:r>
      <w:r>
        <w:t xml:space="preserve">=&gt; Краткое описание издания (в формате brief)</w:t>
      </w:r>
    </w:p>
    <w:p>
      <w:pPr>
        <w:pStyle w:val="Compact"/>
        <w:numPr>
          <w:ilvl w:val="0"/>
          <w:numId w:val="1011"/>
        </w:numPr>
      </w:pPr>
      <w:r>
        <w:t xml:space="preserve">‘responsible_face’</w:t>
      </w:r>
      <w:r>
        <w:t xml:space="preserve"> </w:t>
      </w:r>
      <w:r>
        <w:t xml:space="preserve">=&gt; Ответственное лицо</w:t>
      </w:r>
    </w:p>
    <w:p>
      <w:pPr>
        <w:pStyle w:val="Compact"/>
        <w:numPr>
          <w:ilvl w:val="0"/>
          <w:numId w:val="1011"/>
        </w:numPr>
      </w:pPr>
      <w:r>
        <w:t xml:space="preserve">‘place_of_issue’</w:t>
      </w:r>
      <w:r>
        <w:t xml:space="preserve"> </w:t>
      </w:r>
      <w:r>
        <w:t xml:space="preserve">=&gt; Место выдачи</w:t>
      </w:r>
    </w:p>
    <w:p>
      <w:pPr>
        <w:pStyle w:val="Compact"/>
        <w:numPr>
          <w:ilvl w:val="0"/>
          <w:numId w:val="1011"/>
        </w:numPr>
      </w:pPr>
      <w:r>
        <w:t xml:space="preserve">‘place_of_store’</w:t>
      </w:r>
      <w:r>
        <w:t xml:space="preserve"> </w:t>
      </w:r>
      <w:r>
        <w:t xml:space="preserve">=&gt; Место хранения экземпляра</w:t>
      </w:r>
    </w:p>
    <w:p>
      <w:pPr>
        <w:pStyle w:val="Compact"/>
        <w:numPr>
          <w:ilvl w:val="0"/>
          <w:numId w:val="1011"/>
        </w:numPr>
      </w:pPr>
      <w:r>
        <w:t xml:space="preserve">‘barcode_rfid’</w:t>
      </w:r>
      <w:r>
        <w:t xml:space="preserve"> </w:t>
      </w:r>
      <w:r>
        <w:t xml:space="preserve">=&gt; Штрих-код или RFID-метка экземпляра издания</w:t>
      </w:r>
    </w:p>
    <w:p>
      <w:pPr>
        <w:pStyle w:val="Compact"/>
        <w:numPr>
          <w:ilvl w:val="0"/>
          <w:numId w:val="1011"/>
        </w:numPr>
      </w:pPr>
      <w:r>
        <w:t xml:space="preserve">‘inventory’</w:t>
      </w:r>
      <w:r>
        <w:t xml:space="preserve"> </w:t>
      </w:r>
      <w:r>
        <w:t xml:space="preserve">=&gt; Инвентарный номер экземпляра издания</w:t>
      </w:r>
    </w:p>
    <w:p>
      <w:pPr>
        <w:pStyle w:val="Compact"/>
        <w:numPr>
          <w:ilvl w:val="0"/>
          <w:numId w:val="1011"/>
        </w:numPr>
      </w:pPr>
      <w:r>
        <w:t xml:space="preserve">‘order_date’</w:t>
      </w:r>
      <w:r>
        <w:t xml:space="preserve"> </w:t>
      </w:r>
      <w:r>
        <w:t xml:space="preserve">=&gt; Дата создания заказа</w:t>
      </w:r>
    </w:p>
    <w:p>
      <w:pPr>
        <w:pStyle w:val="Compact"/>
        <w:numPr>
          <w:ilvl w:val="0"/>
          <w:numId w:val="1011"/>
        </w:numPr>
      </w:pPr>
      <w:r>
        <w:t xml:space="preserve">‘issue_date’</w:t>
      </w:r>
      <w:r>
        <w:t xml:space="preserve"> </w:t>
      </w:r>
      <w:r>
        <w:t xml:space="preserve">=&gt; Дата исполнения заказа</w:t>
      </w:r>
    </w:p>
    <w:p>
      <w:pPr>
        <w:pStyle w:val="Compact"/>
        <w:numPr>
          <w:ilvl w:val="0"/>
          <w:numId w:val="1011"/>
        </w:numPr>
      </w:pPr>
      <w:r>
        <w:t xml:space="preserve">‘reservation_date’</w:t>
      </w:r>
      <w:r>
        <w:t xml:space="preserve"> </w:t>
      </w:r>
      <w:r>
        <w:t xml:space="preserve">=&gt; Дата бронирования экземпляра</w:t>
      </w:r>
    </w:p>
    <w:p>
      <w:pPr>
        <w:pStyle w:val="Compact"/>
        <w:numPr>
          <w:ilvl w:val="0"/>
          <w:numId w:val="1011"/>
        </w:numPr>
      </w:pPr>
      <w:r>
        <w:t xml:space="preserve">‘refuse_date’</w:t>
      </w:r>
      <w:r>
        <w:t xml:space="preserve"> </w:t>
      </w:r>
      <w:r>
        <w:t xml:space="preserve">=&gt; Дата отказа в исполнении заказа</w:t>
      </w:r>
    </w:p>
    <w:p>
      <w:pPr>
        <w:pStyle w:val="Compact"/>
        <w:numPr>
          <w:ilvl w:val="0"/>
          <w:numId w:val="1011"/>
        </w:numPr>
      </w:pPr>
      <w:r>
        <w:t xml:space="preserve">‘refuse_reason’</w:t>
      </w:r>
      <w:r>
        <w:t xml:space="preserve"> </w:t>
      </w:r>
      <w:r>
        <w:t xml:space="preserve">=&gt; Причина отказа исполнения заказа</w:t>
      </w:r>
    </w:p>
    <w:p>
      <w:pPr>
        <w:pStyle w:val="Compact"/>
        <w:numPr>
          <w:ilvl w:val="0"/>
          <w:numId w:val="1011"/>
        </w:numPr>
      </w:pPr>
      <w:r>
        <w:t xml:space="preserve">‘is_edd’</w:t>
      </w:r>
      <w:r>
        <w:t xml:space="preserve"> </w:t>
      </w:r>
      <w:r>
        <w:t xml:space="preserve">=&gt; Если true – заказ является заказом на электронную доставку документа</w:t>
      </w:r>
    </w:p>
    <w:p>
      <w:pPr>
        <w:pStyle w:val="Compact"/>
        <w:numPr>
          <w:ilvl w:val="0"/>
          <w:numId w:val="1011"/>
        </w:numPr>
      </w:pPr>
      <w:r>
        <w:t xml:space="preserve">‘edd_url’</w:t>
      </w:r>
      <w:r>
        <w:t xml:space="preserve"> </w:t>
      </w:r>
      <w:r>
        <w:t xml:space="preserve">=&gt; Ссылка на получение результата исполнения заказа на электронную доставку документа</w:t>
      </w:r>
    </w:p>
    <w:p>
      <w:pPr>
        <w:pStyle w:val="FirstParagraph"/>
      </w:pPr>
      <w:r>
        <w:t xml:space="preserve">Возвращается вся история заказов пользователя. Для неисполненных заказов поле issue_date - пусто.</w:t>
      </w:r>
    </w:p>
    <w:bookmarkEnd w:id="73"/>
    <w:bookmarkStart w:id="74" w:name="исключения-7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Отсутствуют.</w:t>
      </w:r>
    </w:p>
    <w:bookmarkEnd w:id="74"/>
    <w:bookmarkEnd w:id="75"/>
    <w:bookmarkStart w:id="80" w:name="X4021253e8c42228d68df4137ed0834479538ba2"/>
    <w:p>
      <w:pPr>
        <w:pStyle w:val="Heading3"/>
      </w:pPr>
      <w:r>
        <w:t xml:space="preserve">Функция BookReturnProlongation($user_id, $barcode_rfid , $inventory, $new_return_date)</w:t>
      </w:r>
    </w:p>
    <w:bookmarkStart w:id="76" w:name="описание-функции-8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запроса на продление срока возврата издания, находящегося у Пользователя библиотек.</w:t>
      </w:r>
    </w:p>
    <w:bookmarkEnd w:id="76"/>
    <w:bookmarkStart w:id="77" w:name="параметры-8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BookReturnProlongation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barcode_rfid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Штрих-код или RFID-метка экземпляра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i</m:t>
              </m:r>
              <m:r>
                <m:t>n</m:t>
              </m:r>
              <m:r>
                <m:t>v</m:t>
              </m:r>
              <m:r>
                <m:t>e</m:t>
              </m:r>
              <m:r>
                <m:t>n</m:t>
              </m:r>
              <m:r>
                <m:t>t</m:t>
              </m:r>
              <m:r>
                <m:t>o</m:t>
              </m:r>
              <m:r>
                <m:t>r</m:t>
              </m:r>
              <m:r>
                <m:t>y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н</m:t>
              </m:r>
              <m:r>
                <m:t>в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а</m:t>
              </m:r>
              <m:r>
                <m:t>р</m:t>
              </m:r>
              <m:r>
                <m:t>н</m:t>
              </m:r>
              <m:r>
                <m:t>ы</m:t>
              </m:r>
              <m:r>
                <m:t>й</m:t>
              </m:r>
              <m:r>
                <m:t>н</m:t>
              </m:r>
              <m:r>
                <m:t>о</m:t>
              </m:r>
              <m:r>
                <m:t>м</m:t>
              </m:r>
              <m:r>
                <m:t>е</m:t>
              </m:r>
              <m:r>
                <m:t>р</m:t>
              </m:r>
              <m:r>
                <m:t>э</m:t>
              </m:r>
              <m:r>
                <m:t>к</m:t>
              </m:r>
              <m:r>
                <m:t>з</m:t>
              </m:r>
              <m:r>
                <m:t>е</m:t>
              </m:r>
              <m:r>
                <m:t>м</m:t>
              </m:r>
              <m:r>
                <m:t>п</m:t>
              </m:r>
              <m:r>
                <m:t>л</m:t>
              </m:r>
              <m:r>
                <m:t>я</m:t>
              </m:r>
              <m:r>
                <m:t>р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new_return_date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Срок (дата) желаемого продления или количество дней, на которое необходимо продлить срок пользования изданием</w:t>
            </w:r>
          </w:p>
        </w:tc>
      </w:tr>
    </w:tbl>
    <w:bookmarkEnd w:id="77"/>
    <w:bookmarkStart w:id="78" w:name="возвращаемые-значения-7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Дата, до которой продлено издание.</w:t>
      </w:r>
    </w:p>
    <w:bookmarkEnd w:id="78"/>
    <w:bookmarkStart w:id="79" w:name="исключения-8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BookReturnProlongation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 указана запись читателя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идентификатору не найдена соответствующая запись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Нельзя продлить это издание (Дата)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количество дней, на которое необходимо продлить меньше 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 выбрано ни одной записи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списке выданных изданий отсутствует издание с указанным Штрих-кодом/RFID-меткой и инвентарным номером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Нельзя продлить издание на месте выдачи</w:t>
            </w:r>
            <w:r>
              <w:t xml:space="preserve"> </w:t>
            </w:r>
            <w:r>
              <w:t xml:space="preserve"> </w:t>
            </w:r>
            <w:r>
              <w:t xml:space="preserve">выданное на месте выдачи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когда на месте выдачи, установленном для вызывающей функцию системы недоступно продление издания, выданного на другом месте выдачи</w:t>
            </w:r>
          </w:p>
        </w:tc>
      </w:tr>
    </w:tbl>
    <w:bookmarkEnd w:id="79"/>
    <w:bookmarkEnd w:id="80"/>
    <w:bookmarkStart w:id="85" w:name="функция-getexemplarsinfodbn-record_id"/>
    <w:p>
      <w:pPr>
        <w:pStyle w:val="Heading3"/>
      </w:pPr>
      <w:r>
        <w:t xml:space="preserve">Функция GetExemplarsInfo($dbn, $record_id)</w:t>
      </w:r>
    </w:p>
    <w:bookmarkStart w:id="81" w:name="описание-функции-9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получает сведения об экземплярах библиографической записи и их статусе. Запись издания ищется в указанной базе по идентификатору</w:t>
      </w:r>
      <w:r>
        <w:t xml:space="preserve"> </w:t>
      </w:r>
      <w:r>
        <w:rPr>
          <w:rStyle w:val="VerbatimChar"/>
        </w:rPr>
        <w:t xml:space="preserve">record_id</w:t>
      </w:r>
      <w:r>
        <w:t xml:space="preserve">, после чего результат группируется по местам хранения и состоянию экземпляров.</w:t>
      </w:r>
    </w:p>
    <w:bookmarkEnd w:id="81"/>
    <w:bookmarkStart w:id="82" w:name="параметры-9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GetExemplarsInfo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rPr>
                  <m:sty m:val="p"/>
                </m:rPr>
                <m:t>,</m:t>
              </m:r>
              <m:r>
                <m:t>в</m:t>
              </m:r>
              <m:r>
                <m:t>к</m:t>
              </m:r>
              <m:r>
                <m:t>о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о</m:t>
              </m:r>
              <m:r>
                <m:t>й</m:t>
              </m:r>
              <m:r>
                <m:t>х</m:t>
              </m:r>
              <m:r>
                <m:t>р</m:t>
              </m:r>
              <m:r>
                <m:t>а</m:t>
              </m:r>
              <m:r>
                <m:t>н</m:t>
              </m:r>
              <m:r>
                <m:t>и</m:t>
              </m:r>
              <m:r>
                <m:t>т</m:t>
              </m:r>
              <m:r>
                <m:t>с</m:t>
              </m:r>
              <m:r>
                <m:t>я</m:t>
              </m:r>
              <m:r>
                <m:t>з</m:t>
              </m:r>
              <m:r>
                <m:t>а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ь</m:t>
              </m:r>
              <m:r>
                <m:t>н</m:t>
              </m:r>
              <m:r>
                <m:t>а</m:t>
              </m:r>
              <m:r>
                <m:t>и</m:t>
              </m:r>
              <m:r>
                <m:t>з</m:t>
              </m:r>
              <m:r>
                <m:t>д</m:t>
              </m:r>
              <m:r>
                <m:t>а</m:t>
              </m:r>
              <m:r>
                <m:t>н</m:t>
              </m:r>
              <m:r>
                <m:t>и</m:t>
              </m:r>
              <m:r>
                <m:t>е</m:t>
              </m:r>
              <m:r>
                <m:rPr>
                  <m:sty m:val="p"/>
                </m:rPr>
                <m:t>|</m:t>
              </m:r>
            </m:oMath>
            <w: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библиографической записи, обычно значение поля 903.</w:t>
            </w:r>
          </w:p>
        </w:tc>
      </w:tr>
    </w:tbl>
    <w:bookmarkEnd w:id="82"/>
    <w:bookmarkStart w:id="83" w:name="возвращаемые-значения-8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 вида: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8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'Method'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'GetExemplarsInfo'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'Params'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'Error'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'Result'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15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'ХР'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'02386031'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'СФ'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</w:p>
    <w:bookmarkEnd w:id="83"/>
    <w:bookmarkStart w:id="84" w:name="исключения-9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GetExemplarsInfo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Ошибка поиска записей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идентификатору не найдена соответствующая запись на издание</w:t>
            </w:r>
          </w:p>
        </w:tc>
      </w:tr>
    </w:tbl>
    <w:bookmarkEnd w:id="84"/>
    <w:bookmarkEnd w:id="85"/>
    <w:bookmarkStart w:id="91" w:name="X69f82971d4e2878f63cb390e9c47d7b6588015f"/>
    <w:p>
      <w:pPr>
        <w:pStyle w:val="Heading3"/>
      </w:pPr>
      <w:r>
        <w:t xml:space="preserve">Функция Search($dbn, $exp, $seq, $format, $numMfn = 20, $firstMfn = 0, $Min = 0, $Max = 0, $SortBy = ’’, $AscSortDir = true, $UseCacheInSearch = false, $asJson = false)</w:t>
      </w:r>
    </w:p>
    <w:bookmarkStart w:id="86" w:name="описание-функции-10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выполняет поиск записей в указанной базе данных и возвращает результаты в заданном формате.</w:t>
      </w:r>
    </w:p>
    <w:bookmarkEnd w:id="86"/>
    <w:bookmarkStart w:id="87" w:name="параметры-10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Search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051"/>
        <w:gridCol w:w="433"/>
        <w:gridCol w:w="643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$exp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$seq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 для последовательного поиска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Формат, в котором нужно вернуть результат поиска. Например:</w:t>
            </w:r>
            <w:r>
              <w:t xml:space="preserve"> </w:t>
            </w:r>
            <w:r>
              <w:rPr>
                <w:rStyle w:val="VerbatimChar"/>
              </w:rPr>
              <w:t xml:space="preserve">@</w:t>
            </w:r>
            <w:r>
              <w:t xml:space="preserve"> </w:t>
            </w:r>
            <w:r>
              <w:t xml:space="preserve">- формат по умолчанию,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 </w:t>
            </w:r>
            <w:r>
              <w:t xml:space="preserve">- краткое описание,</w:t>
            </w:r>
            <w:r>
              <w:t xml:space="preserve"> </w:t>
            </w:r>
            <w:r>
              <w:rPr>
                <w:rStyle w:val="VerbatimChar"/>
              </w:rPr>
              <w:t xml:space="preserve">@API/info</w:t>
            </w:r>
            <w:r>
              <w:t xml:space="preserve"> </w:t>
            </w:r>
            <w:r>
              <w:t xml:space="preserve">- JSON-структура библиографической записи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$numMfn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в порции результатов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$firstMfn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Номер первой записи в порции результатов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$Min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Минимальный MFN результата.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ограничение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$Max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результата.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ограничение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$SortBy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Ключ сортировки. Если передана пустая строка, сортировка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''</w:t>
            </w:r>
          </w:p>
        </w:tc>
      </w:tr>
      <w:tr>
        <w:tc>
          <w:tcPr/>
          <w:p>
            <w:pPr>
              <w:pStyle w:val="Compact"/>
            </w:pPr>
            <w:r>
              <w:t xml:space="preserve">$AscSortDir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сортировка выполняется по возрастанию.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$UseCacheInSearch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используется кеш поиска.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false</w:t>
            </w:r>
          </w:p>
        </w:tc>
      </w:tr>
      <w:tr>
        <w:tc>
          <w:tcPr/>
          <w:p>
            <w:pPr>
              <w:pStyle w:val="Compact"/>
            </w:pPr>
            <w:r>
              <w:t xml:space="preserve">$asJson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каждый элемент результата форматирования обрабатывается через</w:t>
            </w:r>
            <w:r>
              <w:t xml:space="preserve"> </w:t>
            </w:r>
            <w:r>
              <w:rPr>
                <w:rStyle w:val="VerbatimChar"/>
              </w:rPr>
              <w:t xml:space="preserve">json_decode</w:t>
            </w:r>
            <w:r>
              <w:t xml:space="preserve">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false</w:t>
            </w:r>
          </w:p>
        </w:tc>
      </w:tr>
    </w:tbl>
    <w:bookmarkEnd w:id="87"/>
    <w:bookmarkStart w:id="89" w:name="возвращаемые-значения-9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результатами расформатирования записей. Нулевой элемент массива содержит количество найденных записей.</w:t>
      </w:r>
      <w:r>
        <w:t xml:space="preserve"> </w:t>
      </w:r>
      <w:r>
        <w:t xml:space="preserve">Если количество возвращаемых записей больше</w:t>
      </w:r>
      <w:r>
        <w:t xml:space="preserve"> </w:t>
      </w:r>
      <w:r>
        <w:rPr>
          <w:rStyle w:val="VerbatimChar"/>
        </w:rPr>
        <w:t xml:space="preserve">0</w:t>
      </w:r>
      <w:r>
        <w:t xml:space="preserve">, первый и последующие элементы содержат результат расформатирования.</w:t>
      </w:r>
    </w:p>
    <w:p>
      <w:pPr>
        <w:pStyle w:val="BodyText"/>
      </w:pPr>
      <w:r>
        <w:t xml:space="preserve">В общем случае каждый результат расформатирования возвращается строкой.</w:t>
      </w:r>
    </w:p>
    <w:p>
      <w:pPr>
        <w:pStyle w:val="BodyText"/>
      </w:pPr>
      <w:r>
        <w:t xml:space="preserve">Если параметр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 </w:t>
      </w:r>
      <w:r>
        <w:t xml:space="preserve">установлен в</w:t>
      </w:r>
      <w:r>
        <w:t xml:space="preserve"> </w:t>
      </w:r>
      <w:r>
        <w:rPr>
          <w:rStyle w:val="VerbatimChar"/>
        </w:rPr>
        <w:t xml:space="preserve">true</w:t>
      </w:r>
      <w:r>
        <w:t xml:space="preserve">, функция пытается преобразовать каждый результат расформатирования через</w:t>
      </w:r>
      <w:r>
        <w:t xml:space="preserve"> </w:t>
      </w:r>
      <w:r>
        <w:rPr>
          <w:rStyle w:val="VerbatimChar"/>
        </w:rPr>
        <w:t xml:space="preserve">json_decode</w:t>
      </w:r>
      <w:r>
        <w:t xml:space="preserve">. Этот режим полезен для форматов, которые возвращают JSON-строку, например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: вместо строки клиент получает объект или массив, разобранный средствами JSON-RPC клиента.</w:t>
      </w:r>
    </w:p>
    <w:p>
      <w:pPr>
        <w:pStyle w:val="BodyText"/>
      </w:pPr>
      <w:r>
        <w:t xml:space="preserve">Нулевой элемент результата с количеством найденных записей не преобразуется. Если один из элементов не удалось разобрать как JSON, функция возвращает текущий массив результата без исключения; неразобранные элементы остаются строками формата.</w:t>
      </w:r>
    </w:p>
    <w:p>
      <w:pPr>
        <w:pStyle w:val="BodyText"/>
      </w:pPr>
      <w:r>
        <w:t xml:space="preserve">Подробное описание структуры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 </w:t>
      </w:r>
      <w:r>
        <w:t xml:space="preserve">приведено в разделе</w:t>
      </w:r>
      <w:r>
        <w:t xml:space="preserve"> </w:t>
      </w:r>
      <w:hyperlink r:id="rId88">
        <w:r>
          <w:rPr>
            <w:rStyle w:val="Hyperlink"/>
          </w:rPr>
          <w:t xml:space="preserve">Формат API/info для библиографических записей</w:t>
        </w:r>
      </w:hyperlink>
      <w:r>
        <w:t xml:space="preserve">.</w:t>
      </w:r>
    </w:p>
    <w:bookmarkEnd w:id="89"/>
    <w:bookmarkStart w:id="90" w:name="пример-на-языке-php"/>
    <w:p>
      <w:pPr>
        <w:pStyle w:val="Heading4"/>
      </w:pPr>
      <w:r>
        <w:t xml:space="preserve">4. Пример на языке PHP</w:t>
      </w:r>
    </w:p>
    <w:p>
      <w:pPr>
        <w:pStyle w:val="SourceCode"/>
      </w:pPr>
      <w:r>
        <w:rPr>
          <w:rStyle w:val="CommentTok"/>
        </w:rPr>
        <w:t xml:space="preserve">// Подключение класса JSON-RPC 2.0 клиента</w:t>
      </w:r>
      <w:r>
        <w:br/>
      </w:r>
      <w:r>
        <w:rPr>
          <w:rStyle w:val="KeywordTok"/>
        </w:rPr>
        <w:t xml:space="preserve">require_once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'BaseJsonRpcClient.php'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URL подключения к API сервера</w:t>
      </w:r>
      <w:r>
        <w:br/>
      </w:r>
      <w:r>
        <w:rPr>
          <w:rStyle w:val="VariableTok"/>
        </w:rPr>
        <w:t xml:space="preserve">$entryUrl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'https://example.org/JSONRPC.php?i128Module=API'</w:t>
      </w:r>
      <w:r>
        <w:rPr>
          <w:rStyle w:val="OtherTok"/>
        </w:rPr>
        <w:t xml:space="preserve">;</w:t>
      </w:r>
      <w:r>
        <w:br/>
      </w:r>
      <w:r>
        <w:rPr>
          <w:rStyle w:val="CommentTok"/>
        </w:rPr>
        <w:t xml:space="preserve">// Использовать ли SSL</w:t>
      </w:r>
      <w:r>
        <w:br/>
      </w:r>
      <w:r>
        <w:rPr>
          <w:rStyle w:val="VariableTok"/>
        </w:rPr>
        <w:t xml:space="preserve">$ssl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Логин и пароль для подключения</w:t>
      </w:r>
      <w:r>
        <w:br/>
      </w:r>
      <w:r>
        <w:rPr>
          <w:rStyle w:val="VariableTok"/>
        </w:rPr>
        <w:t xml:space="preserve">$login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$password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Создание подключения</w:t>
      </w:r>
      <w:r>
        <w:br/>
      </w:r>
      <w:r>
        <w:rPr>
          <w:rStyle w:val="VariableTok"/>
        </w:rPr>
        <w:t xml:space="preserve">$api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BaseJsonRpcClient(</w:t>
      </w:r>
      <w:r>
        <w:rPr>
          <w:rStyle w:val="VariableTok"/>
        </w:rPr>
        <w:t xml:space="preserve">$entryUrl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$ssl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$login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$password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Установка параметров для вызова</w:t>
      </w:r>
      <w:r>
        <w:br/>
      </w:r>
      <w:r>
        <w:rPr>
          <w:rStyle w:val="VariableTok"/>
        </w:rPr>
        <w:t xml:space="preserve">$dbn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$exp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$seq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$format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$numMfn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$firstMfn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$Min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$Max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$SortBy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$AscSortDir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$UseCacheInSearch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$asJson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Выполнение поиска записей с указанными авторами по БД IBIS с запросом первой записи результата поиска</w:t>
      </w:r>
      <w:r>
        <w:br/>
      </w:r>
      <w:r>
        <w:rPr>
          <w:rStyle w:val="VariableTok"/>
        </w:rPr>
        <w:t xml:space="preserve">$result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$api</w:t>
      </w:r>
      <w:r>
        <w:rPr>
          <w:rStyle w:val="NormalTok"/>
        </w:rPr>
        <w:t xml:space="preserve">-&gt;Search(</w:t>
      </w:r>
      <w:r>
        <w:rPr>
          <w:rStyle w:val="VariableTok"/>
        </w:rPr>
        <w:t xml:space="preserve">$dbn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$exp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$seq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$format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$numMfn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$firstMfn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$Min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$Max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$SortBy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$AscSortDir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$UseCacheInSearch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$asJson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Вывод полученного результата</w:t>
      </w:r>
      <w:r>
        <w:br/>
      </w:r>
      <w:r>
        <w:rPr>
          <w:rStyle w:val="FunctionTok"/>
        </w:rPr>
        <w:t xml:space="preserve">var_export</w:t>
      </w:r>
      <w:r>
        <w:rPr>
          <w:rStyle w:val="NormalTok"/>
        </w:rPr>
        <w:t xml:space="preserve">(</w:t>
      </w:r>
      <w:r>
        <w:rPr>
          <w:rStyle w:val="VariableTok"/>
        </w:rPr>
        <w:t xml:space="preserve">$result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В адресе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 </w:t>
      </w:r>
      <w:r>
        <w:t xml:space="preserve">укажите адрес сервера ИРБИС 128.</w:t>
      </w:r>
    </w:p>
    <w:p>
      <w:pPr>
        <w:pStyle w:val="BodyText"/>
      </w:pPr>
      <w:r>
        <w:t xml:space="preserve">Результат работы скрипта:</w:t>
      </w:r>
    </w:p>
    <w:p>
      <w:pPr>
        <w:pStyle w:val="BodyText"/>
      </w:pPr>
      <w:r>
        <w:t xml:space="preserve">Всего запросу соответствует 177 записей, возвращена информация о первой из них в формате API/info.</w:t>
      </w:r>
    </w:p>
    <w:p>
      <w:pPr>
        <w:pStyle w:val="SourceCode"/>
      </w:pPr>
      <w:r>
        <w:rPr>
          <w:rStyle w:val="NormalTok"/>
        </w:rPr>
        <w:t xml:space="preserve">BaseJsonRpcCall::</w:t>
      </w:r>
      <w:r>
        <w:rPr>
          <w:rStyle w:val="BuiltInTok"/>
        </w:rPr>
        <w:t xml:space="preserve">__set_state</w:t>
      </w:r>
      <w:r>
        <w:rPr>
          <w:rStyle w:val="NormalTok"/>
        </w:rPr>
        <w:t xml:space="preserve">(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'Method'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'Search'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'Params'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2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3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4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5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6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7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8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9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10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11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'Error'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'Result'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177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'brief'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'Колисниченко, Денис Николаевич. Android для пользователя : полезные программы и советы / Денис Колисниченко, 2013. - 254 с.'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'examplarInfo'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'ХР'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'Android для пользователя : полезные программы и советы'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'interestingArticles'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'onTabs'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'documentType'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'Однотомное издание'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'publicationCode'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'004.4/К 60-460343092'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'authors'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'Колисниченко, Денис Николаевич'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'unifiedFormHeader'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'parallelTitles'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'transliteratedTitle'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'imprint'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'Санкт-Петербург: БХВ-Петербург, 2013'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'quantitativeCharacteristics'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'254 с.: ил + 24 см'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'teams'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'series'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'misreadTitles'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'translationOfThePublication'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'parallelEditions'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'braided'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'placeOfPublication'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'typeAndVolumeOfResource'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'systemRequirements'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'notes'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'Указ.'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'issn'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'isbn'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'978-5-9775-06 80-9: 130.50 р.'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'identificationNumber'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'grnti'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'20.53.31'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'udc'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'004.4'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'bbk'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'З884.16-56-05,0'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'subjectHeadings'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'Радиоэлектроника -- Электрическая связь -- Радиосвязь -- Радиотелефонная связь; Мобильная связь -- Радиотелефоны; Вычислительная техника -- Вычислительные машины электронные цифровые -- Автоматическая обработка информации; ANDROID, операционная система -- Программирование'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'meshMain'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'meshNonMain'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'geographicalHeadings'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'descriptor'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'keywords'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'content'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'annotation'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'receiptsRegistered'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'thePublicationCanBeFoundIn'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'url'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'*'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'A'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'Пример PDF-файла.pdf'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'Пример PDF-файла'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'14'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</w:p>
    <w:bookmarkEnd w:id="90"/>
    <w:bookmarkEnd w:id="91"/>
    <w:bookmarkStart w:id="96" w:name="X4d5ba4b9e360c455781e82133ada29a77c61009"/>
    <w:p>
      <w:pPr>
        <w:pStyle w:val="Heading3"/>
      </w:pPr>
      <w:r>
        <w:t xml:space="preserve">Функция RecVirtualFormat($dbn, $format, $rec_array)</w:t>
      </w:r>
    </w:p>
    <w:bookmarkStart w:id="92" w:name="описание-функции-11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форматирует виртуальную запись: принимает массив полей записи, создает из него временный объект записи и выполняет для него заданный формат.</w:t>
      </w:r>
    </w:p>
    <w:p>
      <w:pPr>
        <w:pStyle w:val="BodyText"/>
      </w:pPr>
      <w:r>
        <w:t xml:space="preserve">В текущей реализации метод доступен через JSON-RPC сервер модуля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:</w:t>
      </w:r>
      <w:r>
        <w:t xml:space="preserve"> </w:t>
      </w:r>
      <w:r>
        <w:rPr>
          <w:rStyle w:val="VerbatimChar"/>
        </w:rPr>
        <w:t xml:space="preserve">/JSONRPC.php?i128Module=Bitrix24</w:t>
      </w:r>
      <w:r>
        <w:t xml:space="preserve">. Он делегирует вызов функции</w:t>
      </w:r>
      <w:r>
        <w:t xml:space="preserve"> </w:t>
      </w:r>
      <w:r>
        <w:rPr>
          <w:rStyle w:val="VerbatimChar"/>
        </w:rPr>
        <w:t xml:space="preserve">Database::API_RecVirtualFormat($dbn, $format, $rec_array)</w:t>
      </w:r>
      <w:r>
        <w:t xml:space="preserve">.</w:t>
      </w:r>
    </w:p>
    <w:bookmarkEnd w:id="92"/>
    <w:bookmarkStart w:id="93" w:name="параметры-11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RecVirtualFormat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форматирование.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формата или inline-формат, который нужно применить к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Содержимое виртуальной записи в виде массива полей и подполей. Если клиент передал JSON-объект, сервер преобразует его в массив.</w:t>
            </w:r>
          </w:p>
        </w:tc>
      </w:tr>
    </w:tbl>
    <w:bookmarkEnd w:id="93"/>
    <w:bookmarkStart w:id="94" w:name="возвращаемые-значения-10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Возвращается текстовая строка с результатом форматирования. Если база данных не указана или не открывается, сервер возвращает ошибку JSON-RPC с текстом исключения.</w:t>
      </w:r>
    </w:p>
    <w:bookmarkEnd w:id="94"/>
    <w:bookmarkStart w:id="95" w:name="пример-параметра-rec_array"/>
    <w:p>
      <w:pPr>
        <w:pStyle w:val="Heading4"/>
      </w:pPr>
      <w:r>
        <w:t xml:space="preserve">4. Пример параметра</w:t>
      </w:r>
      <w:r>
        <w:t xml:space="preserve"> </w:t>
      </w:r>
      <w:r>
        <w:rPr>
          <w:rStyle w:val="VerbatimChar"/>
        </w:rPr>
        <w:t xml:space="preserve">rec_array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'*'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'"A=Пушкин$"'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</w:p>
    <w:bookmarkEnd w:id="95"/>
    <w:bookmarkEnd w:id="96"/>
    <w:bookmarkStart w:id="100" w:name="Xeb9f0b93f55c4f5301794305094a6fba2629715"/>
    <w:p>
      <w:pPr>
        <w:pStyle w:val="Heading3"/>
      </w:pPr>
      <w:r>
        <w:t xml:space="preserve">Функция GetTermList($dbn, $pref, $startTerm, $numTerms=20, $isBack = false, $format=’’)</w:t>
      </w:r>
    </w:p>
    <w:bookmarkStart w:id="97" w:name="описание-функции-12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списка поисковых терминов для вида поиска.</w:t>
      </w:r>
    </w:p>
    <w:bookmarkEnd w:id="97"/>
    <w:bookmarkStart w:id="98" w:name="параметры-12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GetTermList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pref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s</m:t>
              </m:r>
              <m:r>
                <m:t>t</m:t>
              </m:r>
              <m:r>
                <m:t>a</m:t>
              </m:r>
              <m:r>
                <m:t>r</m:t>
              </m:r>
              <m:r>
                <m:t>t</m:t>
              </m:r>
              <m:r>
                <m:t>T</m:t>
              </m:r>
              <m:r>
                <m:t>e</m:t>
              </m:r>
              <m:r>
                <m:t>r</m:t>
              </m:r>
              <m:r>
                <m:t>m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Н</m:t>
              </m:r>
              <m:r>
                <m:t>а</m:t>
              </m:r>
              <m:r>
                <m:t>ч</m:t>
              </m:r>
              <m:r>
                <m:t>а</m:t>
              </m:r>
              <m:r>
                <m:t>л</m:t>
              </m:r>
              <m:r>
                <m:t>ь</m:t>
              </m:r>
              <m:r>
                <m:t>н</m:t>
              </m:r>
              <m:r>
                <m:t>ы</m:t>
              </m:r>
              <m:r>
                <m:t>й</m:t>
              </m:r>
              <m:r>
                <m:t>т</m:t>
              </m:r>
              <m:r>
                <m:t>е</m:t>
              </m:r>
              <m:r>
                <m:t>р</m:t>
              </m:r>
              <m:r>
                <m:t>м</m:t>
              </m:r>
              <m:r>
                <m:t>и</m:t>
              </m:r>
              <m:r>
                <m:t>н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numTerms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возвращаемых терминов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i</m:t>
              </m:r>
              <m:r>
                <m:t>s</m:t>
              </m:r>
              <m:r>
                <m:t>B</m:t>
              </m:r>
              <m:r>
                <m:t>a</m:t>
              </m:r>
              <m:r>
                <m:t>c</m:t>
              </m:r>
              <m:r>
                <m:t>k</m:t>
              </m:r>
              <m:r>
                <m:rPr>
                  <m:sty m:val="p"/>
                </m:rPr>
                <m:t>|</m:t>
              </m:r>
              <m:r>
                <m:t>b</m:t>
              </m:r>
              <m:r>
                <m:t>o</m:t>
              </m:r>
              <m:r>
                <m:t>o</m:t>
              </m:r>
              <m:r>
                <m:t>l</m:t>
              </m:r>
              <m:r>
                <m:rPr>
                  <m:sty m:val="p"/>
                </m:rPr>
                <m:t>|</m:t>
              </m:r>
              <m:r>
                <m:t>В</m:t>
              </m:r>
              <m:r>
                <m:t>е</m:t>
              </m:r>
              <m:r>
                <m:t>р</m:t>
              </m:r>
              <m:r>
                <m:t>н</m:t>
              </m:r>
              <m:r>
                <m:t>у</m:t>
              </m:r>
              <m:r>
                <m:t>т</m:t>
              </m:r>
              <m:r>
                <m:t>ь</m:t>
              </m:r>
              <m:r>
                <m:t>с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о</m:t>
              </m:r>
              <m:r>
                <m:t>к</m:t>
              </m:r>
              <m:r>
                <m:t>т</m:t>
              </m:r>
              <m:r>
                <m:t>е</m:t>
              </m:r>
              <m:r>
                <m:t>р</m:t>
              </m:r>
              <m:r>
                <m:t>м</m:t>
              </m:r>
              <m:r>
                <m:t>и</m:t>
              </m:r>
              <m:r>
                <m:t>н</m:t>
              </m:r>
              <m:r>
                <m:t>о</m:t>
              </m:r>
              <m:r>
                <m:t>в</m:t>
              </m:r>
              <m:r>
                <m:t>в</m:t>
              </m:r>
              <m:r>
                <m:t>о</m:t>
              </m:r>
              <m:r>
                <m:t>б</m:t>
              </m:r>
              <m:r>
                <m:t>р</m:t>
              </m:r>
              <m:r>
                <m:t>а</m:t>
              </m:r>
              <m:r>
                <m:t>т</m:t>
              </m:r>
              <m:r>
                <m:t>н</m:t>
              </m:r>
              <m:r>
                <m:t>о</m:t>
              </m:r>
              <m:r>
                <m:t>м</m:t>
              </m:r>
              <m:r>
                <m:t>п</m:t>
              </m:r>
              <m:r>
                <m:t>о</m:t>
              </m:r>
              <m:r>
                <m:t>р</m:t>
              </m:r>
              <m:r>
                <m:t>я</m:t>
              </m:r>
              <m:r>
                <m:t>д</m:t>
              </m:r>
              <m:r>
                <m:t>к</m:t>
              </m:r>
              <m:r>
                <m:t>е</m:t>
              </m:r>
              <m:r>
                <m:rPr>
                  <m:sty m:val="p"/>
                </m:rPr>
                <m:t>|</m:t>
              </m:r>
            </m:oMath>
            <w: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Формат, в котором вернуть результат поиска (первую запись), соответствующий термину. Например: @ - Формат по умолчанию</w:t>
            </w:r>
            <w:r>
              <w:t xml:space="preserve"> </w:t>
            </w:r>
            <w:r>
              <w:t xml:space="preserve">@brief</w:t>
            </w:r>
            <w:r>
              <w:t xml:space="preserve"> </w:t>
            </w:r>
            <w:r>
              <w:t xml:space="preserve">– краткое описание, &amp;uf(‘+0’) – В виде полей. подполей</w:t>
            </w:r>
          </w:p>
        </w:tc>
      </w:tr>
    </w:tbl>
    <w:bookmarkEnd w:id="98"/>
    <w:bookmarkStart w:id="99" w:name="возвращаемые-значения-11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результатами расформатирования записей.</w:t>
      </w:r>
    </w:p>
    <w:bookmarkEnd w:id="99"/>
    <w:bookmarkEnd w:id="100"/>
    <w:bookmarkStart w:id="104" w:name="X21e8252e9a2dce906c17b0b04293a07bb50c054"/>
    <w:p>
      <w:pPr>
        <w:pStyle w:val="Heading3"/>
      </w:pPr>
      <w:r>
        <w:t xml:space="preserve">Функция GetFasets($dbn, $exp, $celltype, $cellnum)</w:t>
      </w:r>
    </w:p>
    <w:bookmarkStart w:id="101" w:name="описание-функции-13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списка фасетов указанного типа для поиска по сводному каталогу.</w:t>
      </w:r>
    </w:p>
    <w:bookmarkEnd w:id="101"/>
    <w:bookmarkStart w:id="102" w:name="параметры-13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GetFasets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exp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c</m:t>
              </m:r>
              <m:r>
                <m:t>e</m:t>
              </m:r>
              <m:r>
                <m:t>l</m:t>
              </m:r>
              <m:r>
                <m:t>l</m:t>
              </m:r>
              <m:r>
                <m:t>t</m:t>
              </m:r>
              <m:r>
                <m:t>y</m:t>
              </m:r>
              <m:r>
                <m:t>p</m:t>
              </m:r>
              <m:r>
                <m:t>e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Т</m:t>
              </m:r>
              <m:r>
                <m:t>и</m:t>
              </m:r>
              <m:r>
                <m:t>п</m:t>
              </m:r>
              <m:r>
                <m:t>ф</m:t>
              </m:r>
              <m:r>
                <m:t>а</m:t>
              </m:r>
              <m:r>
                <m:t>с</m:t>
              </m:r>
              <m:r>
                <m:t>е</m:t>
              </m:r>
              <m:r>
                <m:t>т</m:t>
              </m:r>
              <m:r>
                <m:t>а</m:t>
              </m:r>
              <m:r>
                <m:rPr>
                  <m:sty m:val="p"/>
                </m:rPr>
                <m:t>.</m:t>
              </m:r>
              <m:r>
                <m:t>Н</m:t>
              </m:r>
              <m:r>
                <m:t>а</m:t>
              </m:r>
              <m:r>
                <m:t>п</m:t>
              </m:r>
              <m:r>
                <m:t>р</m:t>
              </m:r>
              <m:r>
                <m:t>и</m:t>
              </m:r>
              <m:r>
                <m:t>м</m:t>
              </m:r>
              <m:r>
                <m:t>е</m:t>
              </m:r>
              <m:r>
                <m:t>р</m:t>
              </m:r>
              <m:r>
                <m:rPr>
                  <m:sty m:val="p"/>
                </m:rPr>
                <m:t>:</m:t>
              </m:r>
              <m:r>
                <m:t>A</m:t>
              </m:r>
              <m:r>
                <m:rPr>
                  <m:sty m:val="p"/>
                </m:rPr>
                <m:t>=</m:t>
              </m:r>
              <m:r>
                <m:rPr>
                  <m:sty m:val="p"/>
                </m:rPr>
                <m:t>−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ф</m:t>
              </m:r>
              <m:r>
                <m:t>а</m:t>
              </m:r>
              <m:r>
                <m:t>с</m:t>
              </m:r>
              <m:r>
                <m:t>е</m:t>
              </m:r>
              <m:r>
                <m:t>т</m:t>
              </m:r>
              <m:r>
                <m:t>а</m:t>
              </m:r>
              <m:r>
                <m:t>п</m:t>
              </m:r>
              <m:r>
                <m:t>о</m:t>
              </m:r>
              <m:r>
                <m:t>а</m:t>
              </m:r>
              <m:r>
                <m:t>в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а</m:t>
              </m:r>
              <m:r>
                <m:t>м</m:t>
              </m:r>
              <m:r>
                <m:rPr>
                  <m:sty m:val="p"/>
                </m:rPr>
                <m:t>|</m:t>
              </m:r>
            </m:oMath>
            <w:r>
              <w:t xml:space="preserve">cellnum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возвращаемых фасетов</w:t>
            </w:r>
          </w:p>
        </w:tc>
      </w:tr>
    </w:tbl>
    <w:bookmarkEnd w:id="102"/>
    <w:bookmarkStart w:id="103" w:name="возвращаемые-значения-12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информацией о фасетах в виде массива ассоциативных массивов, вида:</w:t>
      </w:r>
    </w:p>
    <w:p>
      <w:pPr>
        <w:pStyle w:val="SourceCode"/>
      </w:pPr>
      <w:r>
        <w:rPr>
          <w:rStyle w:val="VerbatimChar"/>
        </w:rPr>
        <w:t xml:space="preserve">array (</w:t>
      </w:r>
      <w:r>
        <w:br/>
      </w:r>
      <w:r>
        <w:rPr>
          <w:rStyle w:val="VerbatimChar"/>
        </w:rPr>
        <w:t xml:space="preserve">    0 =&gt; 176,</w:t>
      </w:r>
      <w:r>
        <w:br/>
      </w:r>
      <w:r>
        <w:rPr>
          <w:rStyle w:val="VerbatimChar"/>
        </w:rPr>
        <w:t xml:space="preserve">    1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'A=БУТИН, КИМ ПЕТРОВИЧ',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2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'A=РЕУТОВ, ОЛЕГ АЛЕКСАНДРОВИЧ',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3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'A=КУРЦ, АЛЕКСАНДР ЛЕОНИДОВИЧ',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4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3,</w:t>
      </w:r>
      <w:r>
        <w:br/>
      </w:r>
      <w:r>
        <w:rPr>
          <w:rStyle w:val="VerbatimChar"/>
        </w:rPr>
        <w:t xml:space="preserve">      'term' =&gt; 'A=БОРЯЕВ, А. П.',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5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3,</w:t>
      </w:r>
      <w:r>
        <w:br/>
      </w:r>
      <w:r>
        <w:rPr>
          <w:rStyle w:val="VerbatimChar"/>
        </w:rPr>
        <w:t xml:space="preserve">      'term' =&gt; 'A=ПЕРЕЛЬМАН, В. Я.',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),</w:t>
      </w:r>
      <w:r>
        <w:br/>
      </w:r>
      <w:r>
        <w:rPr>
          <w:rStyle w:val="VerbatimChar"/>
        </w:rPr>
        <w:t xml:space="preserve">))</w:t>
      </w:r>
    </w:p>
    <w:p>
      <w:pPr>
        <w:pStyle w:val="FirstParagraph"/>
      </w:pPr>
      <w:r>
        <w:t xml:space="preserve">В нулевом элементе массива возвращается количество найденных записей, соответствующих поисковому выражению.</w:t>
      </w:r>
    </w:p>
    <w:p>
      <w:pPr>
        <w:pStyle w:val="SourceCode"/>
      </w:pPr>
      <w:r>
        <w:rPr>
          <w:rStyle w:val="VerbatimChar"/>
        </w:rPr>
        <w:t xml:space="preserve">      'num' =&gt; Количество ссылок на термин</w:t>
      </w:r>
      <w:r>
        <w:br/>
      </w:r>
      <w:r>
        <w:rPr>
          <w:rStyle w:val="VerbatimChar"/>
        </w:rPr>
        <w:t xml:space="preserve">      'term' =&gt; Поисковый термин</w:t>
      </w:r>
    </w:p>
    <w:bookmarkEnd w:id="103"/>
    <w:bookmarkEnd w:id="104"/>
    <w:bookmarkEnd w:id="105"/>
    <w:bookmarkStart w:id="110" w:name="X8257e00f6971b6afa346d0bb438e1302a8f6479"/>
    <w:p>
      <w:pPr>
        <w:pStyle w:val="Heading2"/>
      </w:pPr>
      <w:r>
        <w:t xml:space="preserve">Формат API/info для библиографических записей</w:t>
      </w:r>
    </w:p>
    <w:p>
      <w:pPr>
        <w:pStyle w:val="FirstParagraph"/>
      </w:pPr>
      <w:r>
        <w:t xml:space="preserve">Формат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 </w:t>
      </w:r>
      <w:r>
        <w:t xml:space="preserve">возвращает библиографическую запись в виде JSON-структуры для внешних интеграций и портальных решений. Его удобно использовать, когда клиенту нужны не HTML-фрагменты, а заранее разложенные поля: заглавие, авторы, выходные данные, классификационные индексы, ключевые слова, аннотация, сведения об экземплярах и ссылки на внешние объекты.</w:t>
      </w:r>
    </w:p>
    <w:bookmarkStart w:id="106" w:name="использование"/>
    <w:p>
      <w:pPr>
        <w:pStyle w:val="Heading3"/>
      </w:pPr>
      <w:r>
        <w:t xml:space="preserve">1. Использование</w:t>
      </w:r>
    </w:p>
    <w:p>
      <w:pPr>
        <w:pStyle w:val="FirstParagraph"/>
      </w:pPr>
      <w:r>
        <w:t xml:space="preserve">В JSON-RPC методе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 </w:t>
      </w:r>
      <w:r>
        <w:t xml:space="preserve">формат передается параметром</w:t>
      </w:r>
      <w:r>
        <w:t xml:space="preserve"> </w:t>
      </w:r>
      <w:r>
        <w:rPr>
          <w:rStyle w:val="VerbatimChar"/>
        </w:rPr>
        <w:t xml:space="preserve">$format</w:t>
      </w:r>
      <w:r>
        <w:t xml:space="preserve">:</w:t>
      </w:r>
    </w:p>
    <w:p>
      <w:pPr>
        <w:pStyle w:val="SourceCode"/>
      </w:pPr>
      <w:r>
        <w:rPr>
          <w:rStyle w:val="VariableTok"/>
        </w:rPr>
        <w:t xml:space="preserve">$result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$api</w:t>
      </w:r>
      <w:r>
        <w:rPr>
          <w:rStyle w:val="NormalTok"/>
        </w:rPr>
        <w:t xml:space="preserve">-&gt;Search(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true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Если последний параметр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 </w:t>
      </w:r>
      <w:r>
        <w:t xml:space="preserve">равен</w:t>
      </w:r>
      <w:r>
        <w:t xml:space="preserve"> </w:t>
      </w:r>
      <w:r>
        <w:rPr>
          <w:rStyle w:val="VerbatimChar"/>
        </w:rPr>
        <w:t xml:space="preserve">true</w:t>
      </w:r>
      <w:r>
        <w:t xml:space="preserve">, метод пытается преобразовать каждую отформатированную запись из JSON-строки в объект. Если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 </w:t>
      </w:r>
      <w:r>
        <w:t xml:space="preserve">равен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, результат форматирования возвращается как строка.</w:t>
      </w:r>
    </w:p>
    <w:p>
      <w:pPr>
        <w:pStyle w:val="BodyText"/>
      </w:pPr>
      <w:r>
        <w:t xml:space="preserve">Тот же формат можно применять в других точках, где доступно форматирование ИРБИС 128 с указанием контейнера формата</w:t>
      </w:r>
      <w:r>
        <w:t xml:space="preserve"> </w:t>
      </w:r>
      <w:r>
        <w:rPr>
          <w:rStyle w:val="VerbatimChar"/>
        </w:rPr>
        <w:t xml:space="preserve">API</w:t>
      </w:r>
      <w:r>
        <w:t xml:space="preserve">, например через вызовы, которые принимают имя формата в виде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.</w:t>
      </w:r>
    </w:p>
    <w:bookmarkEnd w:id="106"/>
    <w:bookmarkStart w:id="107" w:name="как-формируется-результат"/>
    <w:p>
      <w:pPr>
        <w:pStyle w:val="Heading3"/>
      </w:pPr>
      <w:r>
        <w:t xml:space="preserve">2. Как формируется результат</w:t>
      </w:r>
    </w:p>
    <w:p>
      <w:pPr>
        <w:pStyle w:val="FirstParagraph"/>
      </w:pPr>
      <w:r>
        <w:t xml:space="preserve">Основной PHP-формат находится в</w:t>
      </w:r>
      <w:r>
        <w:t xml:space="preserve"> </w:t>
      </w:r>
      <w:r>
        <w:rPr>
          <w:rStyle w:val="VerbatimChar"/>
        </w:rPr>
        <w:t xml:space="preserve">modules/API/Formats/info.pft128</w:t>
      </w:r>
      <w:r>
        <w:t xml:space="preserve">. Он формирует служебные поля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,</w:t>
      </w:r>
      <w:r>
        <w:t xml:space="preserve"> </w:t>
      </w:r>
      <w:r>
        <w:rPr>
          <w:rStyle w:val="VerbatimChar"/>
        </w:rPr>
        <w:t xml:space="preserve">examplarInfo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url</w:t>
      </w:r>
      <w:r>
        <w:t xml:space="preserve">, затем вызывает подформат</w:t>
      </w:r>
      <w:r>
        <w:t xml:space="preserve"> </w:t>
      </w:r>
      <w:r>
        <w:rPr>
          <w:rStyle w:val="VerbatimChar"/>
        </w:rPr>
        <w:t xml:space="preserve">@api_info</w:t>
      </w:r>
      <w:r>
        <w:t xml:space="preserve">.</w:t>
      </w:r>
    </w:p>
    <w:p>
      <w:pPr>
        <w:pStyle w:val="BodyText"/>
      </w:pPr>
      <w:r>
        <w:t xml:space="preserve">Формат</w:t>
      </w:r>
      <w:r>
        <w:t xml:space="preserve"> </w:t>
      </w:r>
      <w:r>
        <w:rPr>
          <w:rStyle w:val="VerbatimChar"/>
        </w:rPr>
        <w:t xml:space="preserve">api_info.pft</w:t>
      </w:r>
      <w:r>
        <w:t xml:space="preserve"> </w:t>
      </w:r>
      <w:r>
        <w:t xml:space="preserve">собирает XML-блок из набора отдельных PFT-файлов</w:t>
      </w:r>
      <w:r>
        <w:t xml:space="preserve"> </w:t>
      </w:r>
      <w:r>
        <w:rPr>
          <w:rStyle w:val="VerbatimChar"/>
        </w:rPr>
        <w:t xml:space="preserve">api_info_*.pft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info.pft128</w:t>
      </w:r>
      <w:r>
        <w:t xml:space="preserve"> </w:t>
      </w:r>
      <w:r>
        <w:t xml:space="preserve">переносит эти блоки в JSON-поля. PFT-файлы поставляются в составе дистрибутивных данных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в каталоге</w:t>
      </w:r>
      <w:r>
        <w:t xml:space="preserve"> </w:t>
      </w:r>
      <w:r>
        <w:rPr>
          <w:rStyle w:val="VerbatimChar"/>
        </w:rPr>
        <w:t xml:space="preserve">Distr/datai/deposit</w:t>
      </w:r>
      <w:r>
        <w:t xml:space="preserve"> </w:t>
      </w:r>
      <w:r>
        <w:t xml:space="preserve">и рассчитаны на библиографические записи депозитной структуры.</w:t>
      </w:r>
    </w:p>
    <w:bookmarkEnd w:id="107"/>
    <w:bookmarkStart w:id="108" w:name="поля-json"/>
    <w:p>
      <w:pPr>
        <w:pStyle w:val="Heading3"/>
      </w:pPr>
      <w:r>
        <w:t xml:space="preserve">3. Поля JSON</w:t>
      </w:r>
    </w:p>
    <w:p>
      <w:pPr>
        <w:pStyle w:val="FirstParagraph"/>
      </w:pPr>
      <w:r>
        <w:t xml:space="preserve">Таблица 1. Поля формата API/info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Источник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brief</w:t>
            </w:r>
          </w:p>
        </w:tc>
        <w:tc>
          <w:tcPr/>
          <w:p>
            <w:pPr>
              <w:pStyle w:val="Compact"/>
            </w:pPr>
            <w:r>
              <w:t xml:space="preserve">краткое библиографическое описание, сформированное внутри</w:t>
            </w:r>
            <w:r>
              <w:t xml:space="preserve"> </w:t>
            </w:r>
            <w:r>
              <w:rPr>
                <w:rStyle w:val="VerbatimChar"/>
              </w:rPr>
              <w:t xml:space="preserve">info.pft128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examplarInfo</w:t>
            </w:r>
          </w:p>
        </w:tc>
        <w:tc>
          <w:tcPr/>
          <w:p>
            <w:pPr>
              <w:pStyle w:val="Compact"/>
            </w:pPr>
            <w:r>
              <w:t xml:space="preserve">сведения об экземплярах из</w:t>
            </w:r>
            <w:r>
              <w:t xml:space="preserve"> </w:t>
            </w:r>
            <w:r>
              <w:rPr>
                <w:rStyle w:val="VerbatimChar"/>
              </w:rPr>
              <w:t xml:space="preserve">RQST::GetExemplarsInfo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api_info_title.pft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interestingArticles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api_info_interesting_articles.pft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onTabs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api_info_on_tabs.pft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documentType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api_info_document_type.pft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publicationCode</w:t>
            </w:r>
          </w:p>
        </w:tc>
        <w:tc>
          <w:tcPr/>
          <w:p>
            <w:pPr>
              <w:pStyle w:val="Compact"/>
            </w:pPr>
            <w:r>
              <w:t xml:space="preserve">поле записи</w:t>
            </w:r>
            <w:r>
              <w:t xml:space="preserve"> </w:t>
            </w:r>
            <w:r>
              <w:rPr>
                <w:rStyle w:val="VerbatimChar"/>
              </w:rPr>
              <w:t xml:space="preserve">903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authors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api_info_authors.pft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unifiedFormHeader</w:t>
            </w:r>
          </w:p>
        </w:tc>
        <w:tc>
          <w:tcPr/>
          <w:p>
            <w:pPr>
              <w:pStyle w:val="Compact"/>
            </w:pPr>
            <w:r>
              <w:t xml:space="preserve">подполе</w:t>
            </w:r>
            <w:r>
              <w:t xml:space="preserve"> </w:t>
            </w:r>
            <w:r>
              <w:rPr>
                <w:rStyle w:val="VerbatimChar"/>
              </w:rPr>
              <w:t xml:space="preserve">503^a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parallelTitles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api_info_parallel_titles.pft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transliteratedTitle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api_info_transliterated_title.pft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imprint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api_info_imprint.pft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quantitativeCharacteristics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api_info_quantitative_characteristics.pft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api_info_teams.pft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series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api_info_series.pft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misreadTitles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api_info_misread_titles.pft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translationOfThePublication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api_info_translation_of_the_publication.pft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parallelEditions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api_info_parallel_editions.pft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braided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api_info_braided.pft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placeOfPublication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api_info_place_of_publication.pft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typeAndVolumeOfResource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api_info_type_and_volume_of_resource.pft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systemRequirements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api_info_system_requirements.pft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notes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api_info_notes.pft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issn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api_info_issn.pft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isbn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api_info_isbn.pft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identificationNumber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api_info_identification_number.pft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grnti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api_info_grnti.pft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udc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api_info_udc.pft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bbk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api_info_bbk.pft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subjectHeadings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api_info_subject_headings.pft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meshMain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api_info_mesh_main.pft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meshNonMain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api_info_mesh_nonmain.pft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geographicalHeadings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api_info_geographical_headings.pft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descriptor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api_info_descriptor.pft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keywords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api_info_keywords.pft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content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api_info_content.pft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annotation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api_info_annotation.pft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receiptsRegistered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api_info_receipts_registered.pft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thePublicationCanBeFoundIn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api_info_the_publication_can_be_found_in.pft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url</w:t>
            </w:r>
          </w:p>
        </w:tc>
        <w:tc>
          <w:tcPr/>
          <w:p>
            <w:pPr>
              <w:pStyle w:val="Compact"/>
            </w:pPr>
            <w:r>
              <w:t xml:space="preserve">поле записи</w:t>
            </w:r>
            <w:r>
              <w:t xml:space="preserve"> </w:t>
            </w:r>
            <w:r>
              <w:rPr>
                <w:rStyle w:val="VerbatimChar"/>
              </w:rPr>
              <w:t xml:space="preserve">951</w:t>
            </w:r>
            <w:r>
              <w:t xml:space="preserve">, возвращается как массив подполей</w:t>
            </w:r>
          </w:p>
        </w:tc>
      </w:tr>
    </w:tbl>
    <w:bookmarkEnd w:id="108"/>
    <w:bookmarkStart w:id="109" w:name="ограничения"/>
    <w:p>
      <w:pPr>
        <w:pStyle w:val="Heading3"/>
      </w:pPr>
      <w:r>
        <w:t xml:space="preserve">4. Ограничения</w:t>
      </w:r>
    </w:p>
    <w:p>
      <w:pPr>
        <w:pStyle w:val="Compact"/>
        <w:numPr>
          <w:ilvl w:val="0"/>
          <w:numId w:val="1012"/>
        </w:numPr>
      </w:pPr>
      <w:r>
        <w:t xml:space="preserve">формат ориентирован на библиографические записи, где заполнены поля депозитной структуры;</w:t>
      </w:r>
    </w:p>
    <w:p>
      <w:pPr>
        <w:pStyle w:val="Compact"/>
        <w:numPr>
          <w:ilvl w:val="0"/>
          <w:numId w:val="1012"/>
        </w:numPr>
      </w:pPr>
      <w:r>
        <w:t xml:space="preserve">пустые библиографические блоки возвращаются как пустые строки;</w:t>
      </w:r>
    </w:p>
    <w:p>
      <w:pPr>
        <w:pStyle w:val="Compact"/>
        <w:numPr>
          <w:ilvl w:val="0"/>
          <w:numId w:val="1012"/>
        </w:numPr>
      </w:pPr>
      <w:r>
        <w:t xml:space="preserve">если результат используется через JSON-RPC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 для получения объектов вместо строк нужно передавать</w:t>
      </w:r>
      <w:r>
        <w:t xml:space="preserve"> </w:t>
      </w:r>
      <w:r>
        <w:rPr>
          <w:rStyle w:val="VerbatimChar"/>
        </w:rPr>
        <w:t xml:space="preserve">$asJson = true</w:t>
      </w:r>
      <w:r>
        <w:t xml:space="preserve">;</w:t>
      </w:r>
    </w:p>
    <w:p>
      <w:pPr>
        <w:pStyle w:val="Compact"/>
        <w:numPr>
          <w:ilvl w:val="0"/>
          <w:numId w:val="1012"/>
        </w:numPr>
      </w:pPr>
      <w:r>
        <w:t xml:space="preserve">состав и смысл полей JSON являются частью контракта интеграции, поэтому при изменении PFT-файлов нужно сохранять имена полей.</w:t>
      </w:r>
    </w:p>
    <w:bookmarkEnd w:id="109"/>
    <w:bookmarkEnd w:id="110"/>
    <w:bookmarkEnd w:id="1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API/Help/AdapterProfiles" TargetMode="External" /><Relationship Type="http://schemas.openxmlformats.org/officeDocument/2006/relationships/hyperlink" Id="rId10" Target="?id=Help/Show&amp;m=API/Help/Contracts" TargetMode="External" /><Relationship Type="http://schemas.openxmlformats.org/officeDocument/2006/relationships/hyperlink" Id="rId88" Target="?id=Help/Show&amp;m=API/Help/Formats/Info" TargetMode="External" /><Relationship Type="http://schemas.openxmlformats.org/officeDocument/2006/relationships/hyperlink" Id="rId9" Target="?id=Help/Show&amp;m=API/Help/JsonRPC/Root" TargetMode="External" /><Relationship Type="http://schemas.openxmlformats.org/officeDocument/2006/relationships/hyperlink" Id="rId12" Target="?id=Help/Show&amp;m=API/Help/MappingAndExternalIds" TargetMode="External" /><Relationship Type="http://schemas.openxmlformats.org/officeDocument/2006/relationships/hyperlink" Id="rId13" Target="?id=Help/Show&amp;m=API/Help/SyncPolicies" TargetMode="External" /><Relationship Type="http://schemas.openxmlformats.org/officeDocument/2006/relationships/hyperlink" Id="rId36" Target="modules/API/Help/JsonRPC/testjsonrpc.zip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API/Help/AdapterProfiles" TargetMode="External" /><Relationship Type="http://schemas.openxmlformats.org/officeDocument/2006/relationships/hyperlink" Id="rId10" Target="?id=Help/Show&amp;m=API/Help/Contracts" TargetMode="External" /><Relationship Type="http://schemas.openxmlformats.org/officeDocument/2006/relationships/hyperlink" Id="rId88" Target="?id=Help/Show&amp;m=API/Help/Formats/Info" TargetMode="External" /><Relationship Type="http://schemas.openxmlformats.org/officeDocument/2006/relationships/hyperlink" Id="rId9" Target="?id=Help/Show&amp;m=API/Help/JsonRPC/Root" TargetMode="External" /><Relationship Type="http://schemas.openxmlformats.org/officeDocument/2006/relationships/hyperlink" Id="rId12" Target="?id=Help/Show&amp;m=API/Help/MappingAndExternalIds" TargetMode="External" /><Relationship Type="http://schemas.openxmlformats.org/officeDocument/2006/relationships/hyperlink" Id="rId13" Target="?id=Help/Show&amp;m=API/Help/SyncPolicies" TargetMode="External" /><Relationship Type="http://schemas.openxmlformats.org/officeDocument/2006/relationships/hyperlink" Id="rId36" Target="modules/API/Help/JsonRPC/testjsonrpc.zip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API ИРБИС 64/128</dc:title>
  <dc:creator/>
  <cp:keywords/>
  <dcterms:created xsi:type="dcterms:W3CDTF">2026-10-09T06:45:42Z</dcterms:created>
  <dcterms:modified xsi:type="dcterms:W3CDTF">2026-10-09T06:45:42Z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