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[I128-2798] Реализовать HealthCheck для workflow-проектов и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X56359ced94b564738eeb88f2aba72844e377f4f"/>
    <w:p>
      <w:pPr>
        <w:pStyle w:val="Heading1"/>
      </w:pPr>
      <w:r>
        <w:t xml:space="preserve">[I128-2798] Реализовать HealthCheck для workflow-проектов и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12:47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Реализовать системный модуль HealthCheck для проверки конфигурации, runtime-готовности и publication gate системных и предметных модулей ИРБИС 128.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HealthCheck должен стать единым местом запуска и просмотра проверок готовности. Содержательные проверки поставляют модули-владельцы: Workflow*, Tasks, EventBus, Queue, FT, Security, FieldConfiguration и другие. HealthCheck управляет registry, запуском, агрегацией, хранением результатов, уровнем критичности, publication gate и безопасной диагностикой.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provider registry: модуль регистрирует проверки через system JSON definitions и __call/HealthCheck-функции, не требуя жесткой зависимости в ядре HealthCheck.</w:t>
      </w:r>
    </w:p>
    <w:p>
      <w:pPr>
        <w:numPr>
          <w:ilvl w:val="0"/>
          <w:numId w:val="1002"/>
        </w:numPr>
      </w:pPr>
      <w:r>
        <w:t xml:space="preserve">Ввести модель HealthCheckRun: инициатор, режим запуска, scope, target object, started/finished, trace id, status, summary и ссылка на результаты.</w:t>
      </w:r>
    </w:p>
    <w:p>
      <w:pPr>
        <w:numPr>
          <w:ilvl w:val="0"/>
          <w:numId w:val="1002"/>
        </w:numPr>
      </w:pPr>
      <w:r>
        <w:t xml:space="preserve">Ввести модель HealthCheckResult: provider, check key, severity, entity reference, message, details, remediation, safe payload, timestamps и статус актуальности.</w:t>
      </w:r>
    </w:p>
    <w:p>
      <w:pPr>
        <w:numPr>
          <w:ilvl w:val="0"/>
          <w:numId w:val="1002"/>
        </w:numPr>
      </w:pPr>
      <w:r>
        <w:t xml:space="preserve">Поддержать уровни blocker, warning и info. Blocker должен уметь останавливать публикацию конфигурации или rollout, если проверка относится к обязательному gate.</w:t>
      </w:r>
    </w:p>
    <w:p>
      <w:pPr>
        <w:numPr>
          <w:ilvl w:val="0"/>
          <w:numId w:val="1002"/>
        </w:numPr>
      </w:pPr>
      <w:r>
        <w:t xml:space="preserve">Реализовать publication gate для workflow</w:t>
      </w:r>
      <w:r>
        <w:rPr>
          <w:strike/>
        </w:rPr>
        <w:t xml:space="preserve">проектов, системных JSON definitions, публичных форм, views, rights schemes и runtime</w:t>
      </w:r>
      <w:r>
        <w:t xml:space="preserve">интеграций.</w:t>
      </w:r>
    </w:p>
    <w:p>
      <w:pPr>
        <w:numPr>
          <w:ilvl w:val="0"/>
          <w:numId w:val="1002"/>
        </w:numPr>
      </w:pPr>
      <w:r>
        <w:t xml:space="preserve">Реализовать запуск вручную, из setup/update/import, из публикации конфигурации, из TestA, из CI и через Queue для тяжелых проверок.</w:t>
      </w:r>
    </w:p>
    <w:p>
      <w:pPr>
        <w:numPr>
          <w:ilvl w:val="0"/>
          <w:numId w:val="1002"/>
        </w:numPr>
      </w:pPr>
      <w:r>
        <w:t xml:space="preserve">Реализовать result retention: хранение последних результатов, история запусков, очистка старых результатов, сравнение current/previous.</w:t>
      </w:r>
    </w:p>
    <w:p>
      <w:pPr>
        <w:numPr>
          <w:ilvl w:val="0"/>
          <w:numId w:val="1002"/>
        </w:numPr>
      </w:pPr>
      <w:r>
        <w:t xml:space="preserve">Реализовать безопасный diagnostic export в JSON, пригодный для CI, TestA evidence и передачи разработчику.</w:t>
      </w:r>
    </w:p>
    <w:p>
      <w:pPr>
        <w:numPr>
          <w:ilvl w:val="0"/>
          <w:numId w:val="1002"/>
        </w:numPr>
      </w:pPr>
      <w:r>
        <w:t xml:space="preserve">Реализовать Security-контроль просмотра результатов: обычный пользователь не должен видеть секреты, скрытые поля и внутренние пути.</w:t>
      </w:r>
    </w:p>
    <w:p>
      <w:pPr>
        <w:numPr>
          <w:ilvl w:val="0"/>
          <w:numId w:val="1002"/>
        </w:numPr>
      </w:pPr>
      <w:r>
        <w:t xml:space="preserve">Поддержать auto</w:t>
      </w:r>
      <w:r>
        <w:rPr>
          <w:strike/>
        </w:rPr>
        <w:t xml:space="preserve">fix только как отдельную безопасную provider</w:t>
      </w:r>
      <w:r>
        <w:t xml:space="preserve">операцию с dry-run, правами и audit. Обычный check не должен менять данные.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HealthCheck не должен знать доменную структуру Tasks, Workflow*, EventBus, Queue, FT или Security.</w:t>
      </w:r>
    </w:p>
    <w:p>
      <w:pPr>
        <w:numPr>
          <w:ilvl w:val="0"/>
          <w:numId w:val="1002"/>
        </w:numPr>
      </w:pPr>
      <w:r>
        <w:t xml:space="preserve">HealthCheck не должен сам исправлять данные в ходе проверки.</w:t>
      </w:r>
    </w:p>
    <w:p>
      <w:pPr>
        <w:numPr>
          <w:ilvl w:val="0"/>
          <w:numId w:val="1002"/>
        </w:numPr>
      </w:pPr>
      <w:r>
        <w:t xml:space="preserve">Модуль-владелец отвечает за смысл конкретной проверки и remediation, HealthCheck отвечает за запуск, aggregation, gate и вывод.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Модуль может зарегистрировать новую проверку без изменения ядра HealthCheck.</w:t>
      </w:r>
    </w:p>
    <w:p>
      <w:pPr>
        <w:numPr>
          <w:ilvl w:val="0"/>
          <w:numId w:val="1002"/>
        </w:numPr>
      </w:pPr>
      <w:r>
        <w:t xml:space="preserve">Администратор видит единый отчет с группировкой по severity, владельцу, сущности и remediation.</w:t>
      </w:r>
    </w:p>
    <w:p>
      <w:pPr>
        <w:numPr>
          <w:ilvl w:val="0"/>
          <w:numId w:val="1002"/>
        </w:numPr>
      </w:pPr>
      <w:r>
        <w:t xml:space="preserve">Publication gate блокирует публикацию при обязательных blocker-ах и не может быть ослаблен обычной настройкой.</w:t>
      </w:r>
    </w:p>
    <w:p>
      <w:pPr>
        <w:numPr>
          <w:ilvl w:val="0"/>
          <w:numId w:val="1002"/>
        </w:numPr>
      </w:pPr>
      <w:r>
        <w:t xml:space="preserve">Результаты доступны для TestA/CI в стабильном JSON-формате.</w:t>
      </w:r>
    </w:p>
    <w:p>
      <w:pPr>
        <w:numPr>
          <w:ilvl w:val="0"/>
          <w:numId w:val="1002"/>
        </w:numPr>
      </w:pPr>
      <w:r>
        <w:t xml:space="preserve">Тяжелая проверка может запускаться через Queue и сохраняет trace id.</w:t>
      </w:r>
    </w:p>
    <w:p>
      <w:pPr>
        <w:numPr>
          <w:ilvl w:val="0"/>
          <w:numId w:val="1002"/>
        </w:numPr>
      </w:pPr>
      <w:r>
        <w:t xml:space="preserve">Диагностика не раскрывает секреты, скрытые поля и персональные данные сверх прав пользователя.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provider registry, успешной проверки, blocker gate, warning/info, result retention, JSON export, прав просмотра, Queue execution и интеграции с системными definitions. В Help должны быть описаны запуск проверок, чтение отчета, разработка provider</w:t>
      </w:r>
      <w:r>
        <w:t xml:space="preserve">ов и типовые remediation.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независимый срез системного модуля HealthCheck для I128-2798.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модуль modules/HealthCheck с DTO HealthCheckContext, HealthCheckResult, HealthCheckProviderRun и HealthCheckRun;</w:t>
      </w:r>
      <w:r>
        <w:t xml:space="preserve"> </w:t>
      </w:r>
      <w:r>
        <w:t xml:space="preserve">- добавлен runtime registry provider-ов HealthCheck;</w:t>
      </w:r>
      <w:r>
        <w:t xml:space="preserve"> </w:t>
      </w:r>
      <w:r>
        <w:t xml:space="preserve">- добавлена загрузка декларативных provider definitions из JSON modules/</w:t>
      </w:r>
      <w:r>
        <w:t xml:space="preserve">/healthcheck/*.json;</w:t>
      </w:r>
      <w:r>
        <w:t xml:space="preserve"> </w:t>
      </w:r>
      <w:r>
        <w:t xml:space="preserve">- self</w:t>
      </w:r>
      <w:r>
        <w:t xml:space="preserve">provider HealthCheck поставляется через JSON и выполняется стандартной __call</w:t>
      </w:r>
      <w:r>
        <w:t xml:space="preserve">функцией HealthCheck/Self;</w:t>
      </w:r>
      <w:r>
        <w:t xml:space="preserve"> </w:t>
      </w:r>
      <w:r>
        <w:t xml:space="preserve">- добавлен синхронный запуск проверок, агрегация blocker/warning/info и provider failure;</w:t>
      </w:r>
      <w:r>
        <w:t xml:space="preserve"> </w:t>
      </w:r>
      <w:r>
        <w:t xml:space="preserve">- добавлена оценка publication gate: blocker запрещает публикацию, warning требует подтверждения, info не блокирует;</w:t>
      </w:r>
      <w:r>
        <w:t xml:space="preserve"> </w:t>
      </w:r>
      <w:r>
        <w:t xml:space="preserve">- добавлено техническое хранение JSON-отчетов в DataPath/HealthCheck/Reports с retention cleanup;</w:t>
      </w:r>
      <w:r>
        <w:t xml:space="preserve"> </w:t>
      </w:r>
      <w:r>
        <w:t xml:space="preserve">- добавлены __call</w:t>
      </w:r>
      <w:r>
        <w:rPr>
          <w:strike/>
        </w:rPr>
        <w:t xml:space="preserve">методы, TestA</w:t>
      </w:r>
      <w:r>
        <w:t xml:space="preserve">проверка и Help-документация.</w:t>
      </w:r>
    </w:p>
    <w:p>
      <w:pPr>
        <w:pStyle w:val="BodyText"/>
      </w:pPr>
      <w:r>
        <w:t xml:space="preserve">Границы ответственности:</w:t>
      </w:r>
      <w:r>
        <w:t xml:space="preserve"> </w:t>
      </w:r>
      <w:r>
        <w:t xml:space="preserve">- HealthCheck не содержит доменную логику Tasks, Workflow, EventBus, Queue, FT или Security;</w:t>
      </w:r>
      <w:r>
        <w:t xml:space="preserve"> </w:t>
      </w:r>
      <w:r>
        <w:t xml:space="preserve">- модули</w:t>
      </w:r>
      <w:r>
        <w:rPr>
          <w:strike/>
        </w:rPr>
        <w:t xml:space="preserve">владельцы будут поставлять собственные HealthCheck provider</w:t>
      </w:r>
      <w:r>
        <w:t xml:space="preserve">ы и отвечать за смысл своих проверок;</w:t>
      </w:r>
      <w:r>
        <w:t xml:space="preserve"> </w:t>
      </w:r>
      <w:r>
        <w:t xml:space="preserve">- Queue, Security, TraceContext, TestA и Help остаются внешними контрактами, а не частью доменной логики HealthCheck.</w:t>
      </w:r>
    </w:p>
    <w:p>
      <w:pPr>
        <w:pStyle w:val="BodyText"/>
      </w:pPr>
      <w:r>
        <w:t xml:space="preserve">Проверено:</w:t>
      </w:r>
      <w:r>
        <w:t xml:space="preserve"> </w:t>
      </w:r>
      <w:r>
        <w:t xml:space="preserve">- php</w:t>
      </w:r>
      <w:r>
        <w:t xml:space="preserve"> </w:t>
      </w:r>
      <w:r>
        <w:rPr>
          <w:strike/>
        </w:rPr>
        <w:t xml:space="preserve">l для всех PHP/INC</w:t>
      </w:r>
      <w:r>
        <w:t xml:space="preserve">файлов modules/HealthCheck;</w:t>
      </w:r>
      <w:r>
        <w:t xml:space="preserve"> </w:t>
      </w:r>
      <w:r>
        <w:t xml:space="preserve">- JSON self</w:t>
      </w:r>
      <w:r>
        <w:rPr>
          <w:strike/>
        </w:rPr>
        <w:t xml:space="preserve">provider</w:t>
      </w:r>
      <w:r>
        <w:t xml:space="preserve">а проверен через ConvertFrom-Json;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TestA: http://irbis128.local/?id=WIrbis&amp;action=TestA/RunSuite&amp;module=HealthCheck&amp;testedOnly=0&amp;structural=1&amp;levels=safe</w:t>
      </w:r>
      <w:r>
        <w:rPr>
          <w:strike/>
        </w:rPr>
        <w:t xml:space="preserve">read&amp;runid=I128</w:t>
      </w:r>
      <w:r>
        <w:t xml:space="preserve">2798</w:t>
      </w:r>
      <w:r>
        <w:rPr>
          <w:strike/>
        </w:rPr>
        <w:t xml:space="preserve">healthcheck</w:t>
      </w:r>
      <w:r>
        <w:t xml:space="preserve">contract</w:t>
      </w:r>
      <w:r>
        <w:rPr>
          <w:strike/>
        </w:rPr>
        <w:t xml:space="preserve">json</w:t>
      </w:r>
      <w:r>
        <w:t xml:space="preserve">1;</w:t>
      </w:r>
      <w:r>
        <w:t xml:space="preserve"> </w:t>
      </w:r>
      <w:r>
        <w:t xml:space="preserve">- результат TestA: total=16, passed=16, failed=0, skipped=0, blocked=0, warning=0.</w:t>
      </w:r>
    </w:p>
    <w:bookmarkStart w:id="7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9"/>
    <w:p>
      <w:pPr>
        <w:pStyle w:val="Heading3"/>
      </w:pPr>
      <w:r>
        <w:t xml:space="preserve">1.1. 🔗 blocks: I128-2799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1"/>
    <w:p>
      <w:pPr>
        <w:pStyle w:val="Heading3"/>
      </w:pPr>
      <w:r>
        <w:t xml:space="preserve">1.2. 🔗 blocks: I128-2801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6"/>
    <w:p>
      <w:pPr>
        <w:pStyle w:val="Heading3"/>
      </w:pPr>
      <w:r>
        <w:t xml:space="preserve">1.3. 🔗 blocks: I128-2806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7"/>
    <w:p>
      <w:pPr>
        <w:pStyle w:val="Heading3"/>
      </w:pPr>
      <w:r>
        <w:t xml:space="preserve">1.4. 🔗 blocks: I128-2807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8"/>
    <w:p>
      <w:pPr>
        <w:pStyle w:val="Heading3"/>
      </w:pPr>
      <w:r>
        <w:t xml:space="preserve">1.5. 🔗 blocks: I128-2808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9"/>
    <w:p>
      <w:pPr>
        <w:pStyle w:val="Heading3"/>
      </w:pPr>
      <w:r>
        <w:t xml:space="preserve">1.6. 🔗 blocks: I128-2809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0"/>
    <w:p>
      <w:pPr>
        <w:pStyle w:val="Heading3"/>
      </w:pPr>
      <w:r>
        <w:t xml:space="preserve">1.7. 🔗 blocks: I128-2810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1"/>
    <w:p>
      <w:pPr>
        <w:pStyle w:val="Heading3"/>
      </w:pPr>
      <w:r>
        <w:t xml:space="preserve">1.8. 🔗 blocks: I128-2811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4"/>
    <w:p>
      <w:pPr>
        <w:pStyle w:val="Heading3"/>
      </w:pPr>
      <w:r>
        <w:t xml:space="preserve">1.9. 🔗 blocks: I128-2814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6"/>
    <w:p>
      <w:pPr>
        <w:pStyle w:val="Heading3"/>
      </w:pPr>
      <w:r>
        <w:t xml:space="preserve">1.10. 🔗 blocks: I128-2816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17"/>
    <w:p>
      <w:pPr>
        <w:pStyle w:val="Heading3"/>
      </w:pPr>
      <w:r>
        <w:t xml:space="preserve">1.11. 🔗 blocks: I128-2817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8"/>
    <w:p>
      <w:pPr>
        <w:pStyle w:val="Heading3"/>
      </w:pPr>
      <w:r>
        <w:t xml:space="preserve">1.12. 🔗 blocks: I128-2818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20"/>
    <w:p>
      <w:pPr>
        <w:pStyle w:val="Heading3"/>
      </w:pPr>
      <w:r>
        <w:t xml:space="preserve">1.13. 🔗 blocks: I128-2820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21"/>
    <w:p>
      <w:pPr>
        <w:pStyle w:val="Heading3"/>
      </w:pPr>
      <w:r>
        <w:t xml:space="preserve">1.14. 🔗 blocks: I128-2821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22"/>
    <w:p>
      <w:pPr>
        <w:pStyle w:val="Heading3"/>
      </w:pPr>
      <w:r>
        <w:t xml:space="preserve">1.15. 🔗 blocks: I128-2822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24"/>
    <w:p>
      <w:pPr>
        <w:pStyle w:val="Heading3"/>
      </w:pPr>
      <w:r>
        <w:t xml:space="preserve">1.16. 🔗 blocks: I128-2824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25"/>
    <w:p>
      <w:pPr>
        <w:pStyle w:val="Heading3"/>
      </w:pPr>
      <w:r>
        <w:t xml:space="preserve">1.17. 🔗 blocks: I128-2825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26"/>
    <w:p>
      <w:pPr>
        <w:pStyle w:val="Heading3"/>
      </w:pPr>
      <w:r>
        <w:t xml:space="preserve">1.18. 🔗 blocks: I128-2826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27"/>
    <w:p>
      <w:pPr>
        <w:pStyle w:val="Heading3"/>
      </w:pPr>
      <w:r>
        <w:t xml:space="preserve">1.19. 🔗 blocks: I128-2827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828"/>
    <w:p>
      <w:pPr>
        <w:pStyle w:val="Heading3"/>
      </w:pPr>
      <w:r>
        <w:t xml:space="preserve">1.20. 🔗 blocks: I128-2828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[I128-2828]</w:t>
        </w:r>
      </w:hyperlink>
      <w:r>
        <w:t xml:space="preserve"> </w:t>
      </w:r>
      <w:r>
        <w:t xml:space="preserve">Расширить Flags для системных feature flags и rollout policy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829"/>
    <w:p>
      <w:pPr>
        <w:pStyle w:val="Heading3"/>
      </w:pPr>
      <w:r>
        <w:t xml:space="preserve">1.21. 🔗 blocks: I128-2829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830"/>
    <w:p>
      <w:pPr>
        <w:pStyle w:val="Heading3"/>
      </w:pPr>
      <w:r>
        <w:t xml:space="preserve">1.22. 🔗 blocks: I128-2830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831"/>
    <w:p>
      <w:pPr>
        <w:pStyle w:val="Heading3"/>
      </w:pPr>
      <w:r>
        <w:t xml:space="preserve">1.23. 🔗 blocks: I128-2831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832"/>
    <w:p>
      <w:pPr>
        <w:pStyle w:val="Heading3"/>
      </w:pPr>
      <w:r>
        <w:t xml:space="preserve">1.24. 🔗 blocks: I128-2832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833"/>
    <w:p>
      <w:pPr>
        <w:pStyle w:val="Heading3"/>
      </w:pPr>
      <w:r>
        <w:t xml:space="preserve">1.25. 🔗 blocks: I128-2833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Start w:id="60" w:name="blocks-i128-2834"/>
    <w:p>
      <w:pPr>
        <w:pStyle w:val="Heading3"/>
      </w:pPr>
      <w:r>
        <w:t xml:space="preserve">1.26. 🔗 blocks: I128-2834</w:t>
      </w:r>
    </w:p>
    <w:p>
      <w:pPr>
        <w:pStyle w:val="BlockText"/>
      </w:pPr>
      <w:hyperlink r:id="rId59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0"/>
    <w:bookmarkStart w:id="62" w:name="blocks-i128-2835"/>
    <w:p>
      <w:pPr>
        <w:pStyle w:val="Heading3"/>
      </w:pPr>
      <w:r>
        <w:t xml:space="preserve">1.27. 🔗 blocks: I128-2835</w:t>
      </w:r>
    </w:p>
    <w:p>
      <w:pPr>
        <w:pStyle w:val="BlockText"/>
      </w:pPr>
      <w:hyperlink r:id="rId61">
        <w:r>
          <w:rPr>
            <w:rStyle w:val="Hyperlink"/>
            <w:b/>
            <w:bCs/>
          </w:rPr>
          <w:t xml:space="preserve">[I128-2835]</w:t>
        </w:r>
      </w:hyperlink>
      <w:r>
        <w:t xml:space="preserve"> </w:t>
      </w:r>
      <w:r>
        <w:t xml:space="preserve">AIPrompt registry и versioning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2"/>
    <w:bookmarkStart w:id="64" w:name="blocks-i128-2836"/>
    <w:p>
      <w:pPr>
        <w:pStyle w:val="Heading3"/>
      </w:pPr>
      <w:r>
        <w:t xml:space="preserve">1.28. 🔗 blocks: I128-2836</w:t>
      </w:r>
    </w:p>
    <w:p>
      <w:pPr>
        <w:pStyle w:val="BlockText"/>
      </w:pPr>
      <w:hyperlink r:id="rId63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4"/>
    <w:bookmarkStart w:id="66" w:name="blocks-i128-2837"/>
    <w:p>
      <w:pPr>
        <w:pStyle w:val="Heading3"/>
      </w:pPr>
      <w:r>
        <w:t xml:space="preserve">1.29. 🔗 blocks: I128-2837</w:t>
      </w:r>
    </w:p>
    <w:p>
      <w:pPr>
        <w:pStyle w:val="BlockText"/>
      </w:pPr>
      <w:hyperlink r:id="rId65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6"/>
    <w:bookmarkStart w:id="68" w:name="blocks-i128-2838"/>
    <w:p>
      <w:pPr>
        <w:pStyle w:val="Heading3"/>
      </w:pPr>
      <w:r>
        <w:t xml:space="preserve">1.30. 🔗 blocks: I128-2838</w:t>
      </w:r>
    </w:p>
    <w:p>
      <w:pPr>
        <w:pStyle w:val="BlockText"/>
      </w:pPr>
      <w:hyperlink r:id="rId67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8"/>
    <w:bookmarkStart w:id="70" w:name="blocks-i128-2839"/>
    <w:p>
      <w:pPr>
        <w:pStyle w:val="Heading3"/>
      </w:pPr>
      <w:r>
        <w:t xml:space="preserve">1.31. 🔗 blocks: I128-2839</w:t>
      </w:r>
    </w:p>
    <w:p>
      <w:pPr>
        <w:pStyle w:val="BlockText"/>
      </w:pPr>
      <w:hyperlink r:id="rId69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0"/>
    <w:bookmarkStart w:id="72" w:name="blocks-i128-2840"/>
    <w:p>
      <w:pPr>
        <w:pStyle w:val="Heading3"/>
      </w:pPr>
      <w:r>
        <w:t xml:space="preserve">1.32. 🔗 blocks: I128-2840</w:t>
      </w:r>
    </w:p>
    <w:p>
      <w:pPr>
        <w:pStyle w:val="BlockText"/>
      </w:pPr>
      <w:hyperlink r:id="rId7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2"/>
    <w:bookmarkStart w:id="74" w:name="blocks-i128-2793"/>
    <w:p>
      <w:pPr>
        <w:pStyle w:val="Heading3"/>
      </w:pPr>
      <w:r>
        <w:t xml:space="preserve">1.33. 🔗 blocks: I128-2793</w:t>
      </w:r>
    </w:p>
    <w:p>
      <w:pPr>
        <w:pStyle w:val="BlockText"/>
      </w:pPr>
      <w:hyperlink r:id="rId7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4"/>
    <w:bookmarkStart w:id="76" w:name="blocks-i128-2797"/>
    <w:p>
      <w:pPr>
        <w:pStyle w:val="Heading3"/>
      </w:pPr>
      <w:r>
        <w:t xml:space="preserve">1.34. 🔗 blocks: I128-2797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3" Target="?id=Help/Show&amp;m=Help/GeneralDescription/WhatsNew/I128/TaskInfo/I128-2793/README" TargetMode="External" /><Relationship Type="http://schemas.openxmlformats.org/officeDocument/2006/relationships/hyperlink" Id="rId75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799/README" TargetMode="External" /><Relationship Type="http://schemas.openxmlformats.org/officeDocument/2006/relationships/hyperlink" Id="rId11" Target="?id=Help/Show&amp;m=Help/GeneralDescription/WhatsNew/I128/TaskInfo/I128-2801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4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7/README" TargetMode="External" /><Relationship Type="http://schemas.openxmlformats.org/officeDocument/2006/relationships/hyperlink" Id="rId31" Target="?id=Help/Show&amp;m=Help/GeneralDescription/WhatsNew/I128/TaskInfo/I128-2818/README" TargetMode="External" /><Relationship Type="http://schemas.openxmlformats.org/officeDocument/2006/relationships/hyperlink" Id="rId33" Target="?id=Help/Show&amp;m=Help/GeneralDescription/WhatsNew/I128/TaskInfo/I128-2820/README" TargetMode="External" /><Relationship Type="http://schemas.openxmlformats.org/officeDocument/2006/relationships/hyperlink" Id="rId35" Target="?id=Help/Show&amp;m=Help/GeneralDescription/WhatsNew/I128/TaskInfo/I128-2821/README" TargetMode="External" /><Relationship Type="http://schemas.openxmlformats.org/officeDocument/2006/relationships/hyperlink" Id="rId37" Target="?id=Help/Show&amp;m=Help/GeneralDescription/WhatsNew/I128/TaskInfo/I128-2822/README" TargetMode="External" /><Relationship Type="http://schemas.openxmlformats.org/officeDocument/2006/relationships/hyperlink" Id="rId39" Target="?id=Help/Show&amp;m=Help/GeneralDescription/WhatsNew/I128/TaskInfo/I128-2824/README" TargetMode="External" /><Relationship Type="http://schemas.openxmlformats.org/officeDocument/2006/relationships/hyperlink" Id="rId41" Target="?id=Help/Show&amp;m=Help/GeneralDescription/WhatsNew/I128/TaskInfo/I128-2825/README" TargetMode="External" /><Relationship Type="http://schemas.openxmlformats.org/officeDocument/2006/relationships/hyperlink" Id="rId43" Target="?id=Help/Show&amp;m=Help/GeneralDescription/WhatsNew/I128/TaskInfo/I128-2826/README" TargetMode="External" /><Relationship Type="http://schemas.openxmlformats.org/officeDocument/2006/relationships/hyperlink" Id="rId45" Target="?id=Help/Show&amp;m=Help/GeneralDescription/WhatsNew/I128/TaskInfo/I128-2827/README" TargetMode="External" /><Relationship Type="http://schemas.openxmlformats.org/officeDocument/2006/relationships/hyperlink" Id="rId47" Target="?id=Help/Show&amp;m=Help/GeneralDescription/WhatsNew/I128/TaskInfo/I128-2828/README" TargetMode="External" /><Relationship Type="http://schemas.openxmlformats.org/officeDocument/2006/relationships/hyperlink" Id="rId49" Target="?id=Help/Show&amp;m=Help/GeneralDescription/WhatsNew/I128/TaskInfo/I128-2829/README" TargetMode="External" /><Relationship Type="http://schemas.openxmlformats.org/officeDocument/2006/relationships/hyperlink" Id="rId51" Target="?id=Help/Show&amp;m=Help/GeneralDescription/WhatsNew/I128/TaskInfo/I128-2830/README" TargetMode="External" /><Relationship Type="http://schemas.openxmlformats.org/officeDocument/2006/relationships/hyperlink" Id="rId53" Target="?id=Help/Show&amp;m=Help/GeneralDescription/WhatsNew/I128/TaskInfo/I128-2831/README" TargetMode="External" /><Relationship Type="http://schemas.openxmlformats.org/officeDocument/2006/relationships/hyperlink" Id="rId55" Target="?id=Help/Show&amp;m=Help/GeneralDescription/WhatsNew/I128/TaskInfo/I128-2832/README" TargetMode="External" /><Relationship Type="http://schemas.openxmlformats.org/officeDocument/2006/relationships/hyperlink" Id="rId57" Target="?id=Help/Show&amp;m=Help/GeneralDescription/WhatsNew/I128/TaskInfo/I128-2833/README" TargetMode="External" /><Relationship Type="http://schemas.openxmlformats.org/officeDocument/2006/relationships/hyperlink" Id="rId59" Target="?id=Help/Show&amp;m=Help/GeneralDescription/WhatsNew/I128/TaskInfo/I128-2834/README" TargetMode="External" /><Relationship Type="http://schemas.openxmlformats.org/officeDocument/2006/relationships/hyperlink" Id="rId61" Target="?id=Help/Show&amp;m=Help/GeneralDescription/WhatsNew/I128/TaskInfo/I128-2835/README" TargetMode="External" /><Relationship Type="http://schemas.openxmlformats.org/officeDocument/2006/relationships/hyperlink" Id="rId63" Target="?id=Help/Show&amp;m=Help/GeneralDescription/WhatsNew/I128/TaskInfo/I128-2836/README" TargetMode="External" /><Relationship Type="http://schemas.openxmlformats.org/officeDocument/2006/relationships/hyperlink" Id="rId65" Target="?id=Help/Show&amp;m=Help/GeneralDescription/WhatsNew/I128/TaskInfo/I128-2837/README" TargetMode="External" /><Relationship Type="http://schemas.openxmlformats.org/officeDocument/2006/relationships/hyperlink" Id="rId67" Target="?id=Help/Show&amp;m=Help/GeneralDescription/WhatsNew/I128/TaskInfo/I128-2838/README" TargetMode="External" /><Relationship Type="http://schemas.openxmlformats.org/officeDocument/2006/relationships/hyperlink" Id="rId69" Target="?id=Help/Show&amp;m=Help/GeneralDescription/WhatsNew/I128/TaskInfo/I128-2839/README" TargetMode="External" /><Relationship Type="http://schemas.openxmlformats.org/officeDocument/2006/relationships/hyperlink" Id="rId7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3" Target="?id=Help/Show&amp;m=Help/GeneralDescription/WhatsNew/I128/TaskInfo/I128-2793/README" TargetMode="External" /><Relationship Type="http://schemas.openxmlformats.org/officeDocument/2006/relationships/hyperlink" Id="rId75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799/README" TargetMode="External" /><Relationship Type="http://schemas.openxmlformats.org/officeDocument/2006/relationships/hyperlink" Id="rId11" Target="?id=Help/Show&amp;m=Help/GeneralDescription/WhatsNew/I128/TaskInfo/I128-2801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4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7/README" TargetMode="External" /><Relationship Type="http://schemas.openxmlformats.org/officeDocument/2006/relationships/hyperlink" Id="rId31" Target="?id=Help/Show&amp;m=Help/GeneralDescription/WhatsNew/I128/TaskInfo/I128-2818/README" TargetMode="External" /><Relationship Type="http://schemas.openxmlformats.org/officeDocument/2006/relationships/hyperlink" Id="rId33" Target="?id=Help/Show&amp;m=Help/GeneralDescription/WhatsNew/I128/TaskInfo/I128-2820/README" TargetMode="External" /><Relationship Type="http://schemas.openxmlformats.org/officeDocument/2006/relationships/hyperlink" Id="rId35" Target="?id=Help/Show&amp;m=Help/GeneralDescription/WhatsNew/I128/TaskInfo/I128-2821/README" TargetMode="External" /><Relationship Type="http://schemas.openxmlformats.org/officeDocument/2006/relationships/hyperlink" Id="rId37" Target="?id=Help/Show&amp;m=Help/GeneralDescription/WhatsNew/I128/TaskInfo/I128-2822/README" TargetMode="External" /><Relationship Type="http://schemas.openxmlformats.org/officeDocument/2006/relationships/hyperlink" Id="rId39" Target="?id=Help/Show&amp;m=Help/GeneralDescription/WhatsNew/I128/TaskInfo/I128-2824/README" TargetMode="External" /><Relationship Type="http://schemas.openxmlformats.org/officeDocument/2006/relationships/hyperlink" Id="rId41" Target="?id=Help/Show&amp;m=Help/GeneralDescription/WhatsNew/I128/TaskInfo/I128-2825/README" TargetMode="External" /><Relationship Type="http://schemas.openxmlformats.org/officeDocument/2006/relationships/hyperlink" Id="rId43" Target="?id=Help/Show&amp;m=Help/GeneralDescription/WhatsNew/I128/TaskInfo/I128-2826/README" TargetMode="External" /><Relationship Type="http://schemas.openxmlformats.org/officeDocument/2006/relationships/hyperlink" Id="rId45" Target="?id=Help/Show&amp;m=Help/GeneralDescription/WhatsNew/I128/TaskInfo/I128-2827/README" TargetMode="External" /><Relationship Type="http://schemas.openxmlformats.org/officeDocument/2006/relationships/hyperlink" Id="rId47" Target="?id=Help/Show&amp;m=Help/GeneralDescription/WhatsNew/I128/TaskInfo/I128-2828/README" TargetMode="External" /><Relationship Type="http://schemas.openxmlformats.org/officeDocument/2006/relationships/hyperlink" Id="rId49" Target="?id=Help/Show&amp;m=Help/GeneralDescription/WhatsNew/I128/TaskInfo/I128-2829/README" TargetMode="External" /><Relationship Type="http://schemas.openxmlformats.org/officeDocument/2006/relationships/hyperlink" Id="rId51" Target="?id=Help/Show&amp;m=Help/GeneralDescription/WhatsNew/I128/TaskInfo/I128-2830/README" TargetMode="External" /><Relationship Type="http://schemas.openxmlformats.org/officeDocument/2006/relationships/hyperlink" Id="rId53" Target="?id=Help/Show&amp;m=Help/GeneralDescription/WhatsNew/I128/TaskInfo/I128-2831/README" TargetMode="External" /><Relationship Type="http://schemas.openxmlformats.org/officeDocument/2006/relationships/hyperlink" Id="rId55" Target="?id=Help/Show&amp;m=Help/GeneralDescription/WhatsNew/I128/TaskInfo/I128-2832/README" TargetMode="External" /><Relationship Type="http://schemas.openxmlformats.org/officeDocument/2006/relationships/hyperlink" Id="rId57" Target="?id=Help/Show&amp;m=Help/GeneralDescription/WhatsNew/I128/TaskInfo/I128-2833/README" TargetMode="External" /><Relationship Type="http://schemas.openxmlformats.org/officeDocument/2006/relationships/hyperlink" Id="rId59" Target="?id=Help/Show&amp;m=Help/GeneralDescription/WhatsNew/I128/TaskInfo/I128-2834/README" TargetMode="External" /><Relationship Type="http://schemas.openxmlformats.org/officeDocument/2006/relationships/hyperlink" Id="rId61" Target="?id=Help/Show&amp;m=Help/GeneralDescription/WhatsNew/I128/TaskInfo/I128-2835/README" TargetMode="External" /><Relationship Type="http://schemas.openxmlformats.org/officeDocument/2006/relationships/hyperlink" Id="rId63" Target="?id=Help/Show&amp;m=Help/GeneralDescription/WhatsNew/I128/TaskInfo/I128-2836/README" TargetMode="External" /><Relationship Type="http://schemas.openxmlformats.org/officeDocument/2006/relationships/hyperlink" Id="rId65" Target="?id=Help/Show&amp;m=Help/GeneralDescription/WhatsNew/I128/TaskInfo/I128-2837/README" TargetMode="External" /><Relationship Type="http://schemas.openxmlformats.org/officeDocument/2006/relationships/hyperlink" Id="rId67" Target="?id=Help/Show&amp;m=Help/GeneralDescription/WhatsNew/I128/TaskInfo/I128-2838/README" TargetMode="External" /><Relationship Type="http://schemas.openxmlformats.org/officeDocument/2006/relationships/hyperlink" Id="rId69" Target="?id=Help/Show&amp;m=Help/GeneralDescription/WhatsNew/I128/TaskInfo/I128-2839/README" TargetMode="External" /><Relationship Type="http://schemas.openxmlformats.org/officeDocument/2006/relationships/hyperlink" Id="rId7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[I128-2798] Реализовать HealthCheck для workflow-проектов и задач</dc:title>
  <dc:creator/>
  <cp:keywords/>
  <dcterms:created xsi:type="dcterms:W3CDTF">2026-10-06T15:13:50Z</dcterms:created>
  <dcterms:modified xsi:type="dcterms:W3CDTF">2026-10-06T15:13:50Z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