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[I128-2173] Поддержка ИРБИС-ссылок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173-поддержка-ирбис-ссылок"/>
    <w:p>
      <w:pPr>
        <w:pStyle w:val="Heading1"/>
      </w:pPr>
      <w:r>
        <w:t xml:space="preserve">[I128-2173] Поддержка ИРБИС-ссылок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Help - Помощь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02:08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из АРМ Каталогизаторе они вели также в АРМ Каталогизатор, а из арм читатель в арм читатель. из книговыдачи в книговыдачу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508"/>
    <w:p>
      <w:pPr>
        <w:pStyle w:val="Heading3"/>
      </w:pPr>
      <w:r>
        <w:t xml:space="preserve">1.1. 🔗 Соответствует задача: I128-1508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[I128-1508]</w:t>
        </w:r>
      </w:hyperlink>
      <w:r>
        <w:t xml:space="preserve"> </w:t>
      </w:r>
      <w:r>
        <w:t xml:space="preserve">Поддержка ИРБИС-ссылок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50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50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[I128-2173] Поддержка ИРБИС-ссылок</dc:title>
  <dc:creator/>
  <cp:keywords/>
  <dcterms:created xsi:type="dcterms:W3CDTF">2026-10-06T12:46:55Z</dcterms:created>
  <dcterms:modified xsi:type="dcterms:W3CDTF">2026-10-06T12:46:55Z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