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[I128-1342] Чекбоксы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2-чекбоксы-в-результатах-поиска"/>
    <w:p>
      <w:pPr>
        <w:pStyle w:val="Heading1"/>
      </w:pPr>
      <w:r>
        <w:t xml:space="preserve">[I128-1342] Чекбоксы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 </w:t>
      </w:r>
      <w:r>
        <w:t xml:space="preserve">- отметка записей флажками 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Help-раздел о чекбоксах выбора записей на странице результатов поиска. Раздел объясняет, как отметить записи флажками, какие групповые действия используют выбранный набор и чем отличаются варианты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80"/>
    <w:p>
      <w:pPr>
        <w:pStyle w:val="Heading3"/>
      </w:pPr>
      <w:r>
        <w:t xml:space="preserve">1.1. 🔗 Соответствует задача: I128-1180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[I128-1180]</w:t>
        </w:r>
      </w:hyperlink>
      <w:r>
        <w:t xml:space="preserve"> </w:t>
      </w:r>
      <w:r>
        <w:t xml:space="preserve">Чекбоксы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[I128-1342] Чекбоксы в результатах поиска</dc:title>
  <dc:creator/>
  <cp:keywords/>
  <dcterms:created xsi:type="dcterms:W3CDTF">2026-10-06T15:14:02Z</dcterms:created>
  <dcterms:modified xsi:type="dcterms:W3CDTF">2026-10-06T15:14:02Z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